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3" w:type="dxa"/>
        <w:tblInd w:w="-654" w:type="dxa"/>
        <w:tblCellMar>
          <w:left w:w="70" w:type="dxa"/>
          <w:right w:w="70" w:type="dxa"/>
        </w:tblCellMar>
        <w:tblLook w:val="04A0" w:firstRow="1" w:lastRow="0" w:firstColumn="1" w:lastColumn="0" w:noHBand="0" w:noVBand="1"/>
      </w:tblPr>
      <w:tblGrid>
        <w:gridCol w:w="10363"/>
      </w:tblGrid>
      <w:tr w:rsidR="00270691" w:rsidRPr="00307FF0" w:rsidTr="00596C0D">
        <w:trPr>
          <w:trHeight w:val="630"/>
        </w:trPr>
        <w:tc>
          <w:tcPr>
            <w:tcW w:w="10363" w:type="dxa"/>
            <w:tcBorders>
              <w:top w:val="nil"/>
              <w:left w:val="single" w:sz="4" w:space="0" w:color="auto"/>
              <w:bottom w:val="single" w:sz="4" w:space="0" w:color="auto"/>
              <w:right w:val="single" w:sz="4" w:space="0" w:color="auto"/>
            </w:tcBorders>
            <w:shd w:val="clear" w:color="auto" w:fill="C00000"/>
            <w:hideMark/>
          </w:tcPr>
          <w:p w:rsidR="00270691" w:rsidRDefault="00270691" w:rsidP="00596C0D">
            <w:pPr>
              <w:pStyle w:val="Paragraphedeliste"/>
              <w:spacing w:before="120" w:after="0" w:line="240" w:lineRule="auto"/>
              <w:ind w:right="573"/>
              <w:jc w:val="center"/>
              <w:rPr>
                <w:rFonts w:asciiTheme="majorHAnsi" w:eastAsia="Times New Roman" w:hAnsiTheme="majorHAnsi" w:cs="Calibri"/>
                <w:b/>
                <w:bCs/>
                <w:color w:val="EEECE1"/>
                <w:sz w:val="28"/>
                <w:szCs w:val="28"/>
                <w:lang w:eastAsia="fr-FR"/>
              </w:rPr>
            </w:pPr>
            <w:r>
              <w:rPr>
                <w:rFonts w:asciiTheme="majorHAnsi" w:eastAsia="Times New Roman" w:hAnsiTheme="majorHAnsi" w:cs="Calibri"/>
                <w:b/>
                <w:bCs/>
                <w:color w:val="EEECE1"/>
                <w:sz w:val="28"/>
                <w:szCs w:val="28"/>
                <w:lang w:eastAsia="fr-FR"/>
              </w:rPr>
              <w:t>ANNEXE 3</w:t>
            </w:r>
          </w:p>
          <w:p w:rsidR="00270691" w:rsidRDefault="00270691" w:rsidP="00573DCF">
            <w:pPr>
              <w:pStyle w:val="Paragraphedeliste"/>
              <w:spacing w:after="0" w:line="240" w:lineRule="auto"/>
              <w:ind w:right="573"/>
              <w:jc w:val="center"/>
              <w:rPr>
                <w:rFonts w:asciiTheme="majorHAnsi" w:eastAsia="Times New Roman" w:hAnsiTheme="majorHAnsi" w:cs="Calibri"/>
                <w:b/>
                <w:bCs/>
                <w:color w:val="EEECE1"/>
                <w:sz w:val="28"/>
                <w:szCs w:val="28"/>
                <w:lang w:eastAsia="fr-FR"/>
              </w:rPr>
            </w:pPr>
          </w:p>
          <w:p w:rsidR="00270691" w:rsidRDefault="00270691" w:rsidP="00573DCF">
            <w:pPr>
              <w:pStyle w:val="Paragraphedeliste"/>
              <w:ind w:left="0"/>
              <w:jc w:val="center"/>
              <w:rPr>
                <w:rFonts w:asciiTheme="majorHAnsi" w:hAnsiTheme="majorHAnsi"/>
                <w:b/>
                <w:sz w:val="28"/>
                <w:szCs w:val="28"/>
              </w:rPr>
            </w:pPr>
            <w:r>
              <w:rPr>
                <w:rFonts w:asciiTheme="majorHAnsi" w:hAnsiTheme="majorHAnsi"/>
                <w:b/>
                <w:sz w:val="28"/>
                <w:szCs w:val="28"/>
              </w:rPr>
              <w:t>C</w:t>
            </w:r>
            <w:r w:rsidRPr="00B72E7B">
              <w:rPr>
                <w:rFonts w:asciiTheme="majorHAnsi" w:hAnsiTheme="majorHAnsi"/>
                <w:b/>
                <w:sz w:val="28"/>
                <w:szCs w:val="28"/>
              </w:rPr>
              <w:t>ritères de présélection de l'</w:t>
            </w:r>
            <w:r>
              <w:rPr>
                <w:rFonts w:asciiTheme="majorHAnsi" w:hAnsiTheme="majorHAnsi"/>
                <w:b/>
                <w:sz w:val="28"/>
                <w:szCs w:val="28"/>
              </w:rPr>
              <w:t xml:space="preserve">OSC </w:t>
            </w:r>
            <w:r w:rsidRPr="00B72E7B">
              <w:rPr>
                <w:rFonts w:asciiTheme="majorHAnsi" w:hAnsiTheme="majorHAnsi"/>
                <w:b/>
                <w:sz w:val="28"/>
                <w:szCs w:val="28"/>
              </w:rPr>
              <w:t xml:space="preserve">demandeuse </w:t>
            </w:r>
          </w:p>
          <w:p w:rsidR="00270691" w:rsidRPr="00307FF0" w:rsidRDefault="00270691" w:rsidP="00573DCF">
            <w:pPr>
              <w:pStyle w:val="Paragraphedeliste"/>
              <w:ind w:left="0"/>
              <w:jc w:val="center"/>
              <w:rPr>
                <w:rFonts w:asciiTheme="majorHAnsi" w:eastAsia="Times New Roman" w:hAnsiTheme="majorHAnsi" w:cs="Calibri"/>
                <w:b/>
                <w:bCs/>
                <w:color w:val="EEECE1"/>
                <w:sz w:val="28"/>
                <w:szCs w:val="28"/>
                <w:lang w:eastAsia="fr-FR"/>
              </w:rPr>
            </w:pPr>
            <w:r w:rsidRPr="00B72E7B">
              <w:rPr>
                <w:rFonts w:asciiTheme="majorHAnsi" w:hAnsiTheme="majorHAnsi"/>
                <w:b/>
                <w:sz w:val="24"/>
                <w:szCs w:val="28"/>
              </w:rPr>
              <w:t>(quelle que soit la nature du projet présenté)</w:t>
            </w:r>
          </w:p>
        </w:tc>
      </w:tr>
    </w:tbl>
    <w:p w:rsidR="00596C0D" w:rsidRPr="00596C0D" w:rsidRDefault="00596C0D">
      <w:pPr>
        <w:rPr>
          <w:sz w:val="10"/>
          <w:szCs w:val="10"/>
        </w:rPr>
      </w:pPr>
    </w:p>
    <w:tbl>
      <w:tblPr>
        <w:tblW w:w="10363" w:type="dxa"/>
        <w:tblInd w:w="-654" w:type="dxa"/>
        <w:tblCellMar>
          <w:left w:w="70" w:type="dxa"/>
          <w:right w:w="70" w:type="dxa"/>
        </w:tblCellMar>
        <w:tblLook w:val="04A0" w:firstRow="1" w:lastRow="0" w:firstColumn="1" w:lastColumn="0" w:noHBand="0" w:noVBand="1"/>
      </w:tblPr>
      <w:tblGrid>
        <w:gridCol w:w="10363"/>
      </w:tblGrid>
      <w:tr w:rsidR="00270691" w:rsidRPr="00307FF0" w:rsidTr="00596C0D">
        <w:trPr>
          <w:trHeight w:val="1507"/>
        </w:trPr>
        <w:tc>
          <w:tcPr>
            <w:tcW w:w="10363" w:type="dxa"/>
            <w:tcBorders>
              <w:top w:val="single" w:sz="4" w:space="0" w:color="auto"/>
            </w:tcBorders>
            <w:shd w:val="clear" w:color="auto" w:fill="auto"/>
            <w:hideMark/>
          </w:tcPr>
          <w:p w:rsidR="004032AB" w:rsidRPr="00307FF0" w:rsidRDefault="004032AB" w:rsidP="00573DCF">
            <w:pPr>
              <w:spacing w:after="240" w:line="240" w:lineRule="auto"/>
              <w:ind w:right="284"/>
              <w:jc w:val="both"/>
              <w:rPr>
                <w:rFonts w:asciiTheme="majorHAnsi" w:eastAsia="Times New Roman" w:hAnsiTheme="majorHAnsi" w:cs="Calibri"/>
                <w:b/>
                <w:bCs/>
                <w:color w:val="000000"/>
                <w:u w:val="single"/>
                <w:lang w:eastAsia="fr-FR"/>
              </w:rPr>
            </w:pPr>
          </w:p>
          <w:p w:rsidR="00270691" w:rsidRPr="00307FF0" w:rsidRDefault="00270691" w:rsidP="00573DCF">
            <w:pPr>
              <w:spacing w:after="24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b/>
                <w:bCs/>
                <w:color w:val="000000"/>
                <w:u w:val="single"/>
                <w:lang w:eastAsia="fr-FR"/>
              </w:rPr>
              <w:t>Statuts</w:t>
            </w:r>
            <w:r w:rsidRPr="00214503">
              <w:rPr>
                <w:rFonts w:asciiTheme="majorHAnsi" w:eastAsia="Times New Roman" w:hAnsiTheme="majorHAnsi" w:cs="Calibri"/>
                <w:b/>
                <w:bCs/>
                <w:color w:val="000000"/>
                <w:lang w:eastAsia="fr-FR"/>
              </w:rPr>
              <w:t xml:space="preserve"> :</w:t>
            </w:r>
            <w:r w:rsidRPr="00214503">
              <w:rPr>
                <w:rFonts w:asciiTheme="majorHAnsi" w:eastAsia="Times New Roman" w:hAnsiTheme="majorHAnsi" w:cs="Calibri"/>
                <w:color w:val="000000"/>
                <w:lang w:eastAsia="fr-FR"/>
              </w:rPr>
              <w:t xml:space="preserve"> </w:t>
            </w:r>
          </w:p>
          <w:p w:rsidR="00270691" w:rsidRPr="00307FF0" w:rsidRDefault="00270691" w:rsidP="00573DCF">
            <w:pPr>
              <w:spacing w:after="24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Les cofinancements sollicités auprès de l’AFD sont accordés aux OSC françaises constituées sous les statuts suivants :</w:t>
            </w:r>
          </w:p>
          <w:p w:rsidR="00270691" w:rsidRDefault="00270691" w:rsidP="00270691">
            <w:pPr>
              <w:pStyle w:val="Paragraphedeliste"/>
              <w:numPr>
                <w:ilvl w:val="0"/>
                <w:numId w:val="2"/>
              </w:num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Association loi 1901, ou association à but non lucratif régie par le droit local d’Alsace Moselle</w:t>
            </w:r>
            <w:r w:rsidR="004032AB">
              <w:rPr>
                <w:rFonts w:asciiTheme="majorHAnsi" w:eastAsia="Times New Roman" w:hAnsiTheme="majorHAnsi" w:cs="Calibri"/>
                <w:color w:val="000000"/>
                <w:lang w:eastAsia="fr-FR"/>
              </w:rPr>
              <w:t>,</w:t>
            </w:r>
            <w:r w:rsidRPr="00307FF0">
              <w:rPr>
                <w:rFonts w:asciiTheme="majorHAnsi" w:eastAsia="Times New Roman" w:hAnsiTheme="majorHAnsi" w:cs="Calibri"/>
                <w:color w:val="000000"/>
                <w:lang w:eastAsia="fr-FR"/>
              </w:rPr>
              <w:t xml:space="preserve"> </w:t>
            </w:r>
          </w:p>
          <w:p w:rsidR="004032AB" w:rsidRPr="00BB1824" w:rsidRDefault="004032AB" w:rsidP="004032AB">
            <w:pPr>
              <w:pStyle w:val="Paragraphedeliste"/>
              <w:spacing w:after="0" w:line="240" w:lineRule="auto"/>
              <w:ind w:right="284"/>
              <w:jc w:val="both"/>
              <w:rPr>
                <w:rFonts w:asciiTheme="majorHAnsi" w:eastAsia="Times New Roman" w:hAnsiTheme="majorHAnsi" w:cs="Calibri"/>
                <w:color w:val="000000"/>
                <w:lang w:eastAsia="fr-FR"/>
              </w:rPr>
            </w:pPr>
          </w:p>
          <w:p w:rsidR="00270691" w:rsidRDefault="00270691" w:rsidP="00270691">
            <w:pPr>
              <w:pStyle w:val="Paragraphedeliste"/>
              <w:numPr>
                <w:ilvl w:val="0"/>
                <w:numId w:val="2"/>
              </w:num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Fondation française reconnue d’utilité publique, ou abritée au sein d’une fondation française reconnue d’utilité publique</w:t>
            </w:r>
            <w:r w:rsidR="004032AB">
              <w:rPr>
                <w:rFonts w:asciiTheme="majorHAnsi" w:eastAsia="Times New Roman" w:hAnsiTheme="majorHAnsi" w:cs="Calibri"/>
                <w:color w:val="000000"/>
                <w:lang w:eastAsia="fr-FR"/>
              </w:rPr>
              <w:t>,</w:t>
            </w:r>
            <w:r w:rsidRPr="00307FF0">
              <w:rPr>
                <w:rFonts w:asciiTheme="majorHAnsi" w:eastAsia="Times New Roman" w:hAnsiTheme="majorHAnsi" w:cs="Calibri"/>
                <w:color w:val="000000"/>
                <w:lang w:eastAsia="fr-FR"/>
              </w:rPr>
              <w:t xml:space="preserve"> </w:t>
            </w:r>
          </w:p>
          <w:p w:rsidR="004032AB" w:rsidRPr="004032AB" w:rsidRDefault="004032AB" w:rsidP="004032AB">
            <w:pPr>
              <w:spacing w:after="0" w:line="240" w:lineRule="auto"/>
              <w:ind w:right="284"/>
              <w:jc w:val="both"/>
              <w:rPr>
                <w:rFonts w:asciiTheme="majorHAnsi" w:eastAsia="Times New Roman" w:hAnsiTheme="majorHAnsi" w:cs="Calibri"/>
                <w:color w:val="000000"/>
                <w:lang w:eastAsia="fr-FR"/>
              </w:rPr>
            </w:pPr>
          </w:p>
          <w:p w:rsidR="00270691" w:rsidRPr="00307FF0" w:rsidRDefault="00270691" w:rsidP="00270691">
            <w:pPr>
              <w:pStyle w:val="Paragraphedeliste"/>
              <w:numPr>
                <w:ilvl w:val="0"/>
                <w:numId w:val="2"/>
              </w:num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Syndicat de droit français (loi du 21 juin 1865)</w:t>
            </w:r>
            <w:r w:rsidR="004032AB">
              <w:rPr>
                <w:rFonts w:asciiTheme="majorHAnsi" w:eastAsia="Times New Roman" w:hAnsiTheme="majorHAnsi" w:cs="Calibri"/>
                <w:color w:val="000000"/>
                <w:lang w:eastAsia="fr-FR"/>
              </w:rPr>
              <w:t>.</w:t>
            </w:r>
          </w:p>
          <w:p w:rsidR="00270691" w:rsidRPr="00307FF0" w:rsidRDefault="00270691" w:rsidP="00573DCF">
            <w:pPr>
              <w:pStyle w:val="Paragraphedeliste"/>
              <w:spacing w:after="0" w:line="240" w:lineRule="auto"/>
              <w:ind w:right="284"/>
              <w:jc w:val="both"/>
              <w:rPr>
                <w:rFonts w:asciiTheme="majorHAnsi" w:eastAsia="Times New Roman" w:hAnsiTheme="majorHAnsi" w:cs="Calibri"/>
                <w:color w:val="000000"/>
                <w:lang w:eastAsia="fr-FR"/>
              </w:rPr>
            </w:pPr>
          </w:p>
        </w:tc>
      </w:tr>
      <w:tr w:rsidR="00270691" w:rsidRPr="00307FF0" w:rsidTr="00596C0D">
        <w:trPr>
          <w:trHeight w:val="75"/>
        </w:trPr>
        <w:tc>
          <w:tcPr>
            <w:tcW w:w="10363" w:type="dxa"/>
            <w:shd w:val="clear" w:color="auto" w:fill="auto"/>
            <w:hideMark/>
          </w:tcPr>
          <w:p w:rsidR="00270691" w:rsidRDefault="00270691" w:rsidP="00573DCF">
            <w:pPr>
              <w:spacing w:after="0" w:line="240" w:lineRule="auto"/>
              <w:ind w:right="284"/>
              <w:jc w:val="both"/>
              <w:rPr>
                <w:rFonts w:asciiTheme="majorHAnsi" w:eastAsia="Times New Roman" w:hAnsiTheme="majorHAnsi" w:cs="Calibri"/>
                <w:b/>
                <w:bCs/>
                <w:color w:val="000000"/>
                <w:u w:val="single"/>
                <w:lang w:eastAsia="fr-FR"/>
              </w:rPr>
            </w:pPr>
            <w:r w:rsidRPr="00307FF0">
              <w:rPr>
                <w:rFonts w:asciiTheme="majorHAnsi" w:eastAsia="Times New Roman" w:hAnsiTheme="majorHAnsi" w:cs="Calibri"/>
                <w:b/>
                <w:bCs/>
                <w:color w:val="000000"/>
                <w:u w:val="single"/>
                <w:lang w:eastAsia="fr-FR"/>
              </w:rPr>
              <w:t>Constitution</w:t>
            </w:r>
            <w:r w:rsidR="005379B0">
              <w:rPr>
                <w:rFonts w:asciiTheme="majorHAnsi" w:eastAsia="Times New Roman" w:hAnsiTheme="majorHAnsi" w:cs="Calibri"/>
                <w:b/>
                <w:bCs/>
                <w:color w:val="000000"/>
                <w:u w:val="single"/>
                <w:lang w:eastAsia="fr-FR"/>
              </w:rPr>
              <w:t xml:space="preserve"> et gouvernance</w:t>
            </w:r>
            <w:r w:rsidRPr="00307FF0">
              <w:rPr>
                <w:rFonts w:asciiTheme="majorHAnsi" w:eastAsia="Times New Roman" w:hAnsiTheme="majorHAnsi" w:cs="Calibri"/>
                <w:b/>
                <w:bCs/>
                <w:color w:val="000000"/>
                <w:u w:val="single"/>
                <w:lang w:eastAsia="fr-FR"/>
              </w:rPr>
              <w:t xml:space="preserve"> de l’OSC</w:t>
            </w:r>
            <w:r w:rsidRPr="00214503">
              <w:rPr>
                <w:rFonts w:asciiTheme="majorHAnsi" w:eastAsia="Times New Roman" w:hAnsiTheme="majorHAnsi" w:cs="Calibri"/>
                <w:b/>
                <w:bCs/>
                <w:color w:val="000000"/>
                <w:lang w:eastAsia="fr-FR"/>
              </w:rPr>
              <w:t xml:space="preserve"> :</w:t>
            </w:r>
          </w:p>
          <w:p w:rsidR="00270691" w:rsidRPr="00307FF0" w:rsidRDefault="00270691" w:rsidP="00573DCF">
            <w:pPr>
              <w:spacing w:after="0" w:line="240" w:lineRule="auto"/>
              <w:ind w:right="284"/>
              <w:jc w:val="both"/>
              <w:rPr>
                <w:rFonts w:asciiTheme="majorHAnsi" w:eastAsia="Times New Roman" w:hAnsiTheme="majorHAnsi" w:cs="Calibri"/>
                <w:color w:val="000000"/>
                <w:lang w:eastAsia="fr-FR"/>
              </w:rPr>
            </w:pPr>
            <w:r>
              <w:rPr>
                <w:rFonts w:asciiTheme="majorHAnsi" w:eastAsia="Times New Roman" w:hAnsiTheme="majorHAnsi" w:cs="Calibri"/>
                <w:color w:val="000000"/>
                <w:lang w:eastAsia="fr-FR"/>
              </w:rPr>
              <w:t xml:space="preserve"> </w:t>
            </w:r>
          </w:p>
          <w:p w:rsidR="00270691" w:rsidRPr="004032AB" w:rsidRDefault="00270691" w:rsidP="004032AB">
            <w:pPr>
              <w:pStyle w:val="Paragraphedeliste"/>
              <w:numPr>
                <w:ilvl w:val="0"/>
                <w:numId w:val="1"/>
              </w:numPr>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 xml:space="preserve">La date de création de l'OSC requérante, fixée au jour de la parution au Journal Officiel, doit être antérieure de trois ans au minimum à la date de dépôt du dossier à </w:t>
            </w:r>
            <w:r w:rsidR="005379B0">
              <w:rPr>
                <w:rFonts w:asciiTheme="majorHAnsi" w:eastAsia="Times New Roman" w:hAnsiTheme="majorHAnsi" w:cs="Calibri"/>
                <w:lang w:eastAsia="fr-FR"/>
              </w:rPr>
              <w:t>SPC/DPO</w:t>
            </w:r>
            <w:r w:rsidRPr="00307FF0">
              <w:rPr>
                <w:rFonts w:asciiTheme="majorHAnsi" w:eastAsia="Times New Roman" w:hAnsiTheme="majorHAnsi" w:cs="Calibri"/>
                <w:lang w:eastAsia="fr-FR"/>
              </w:rPr>
              <w:t xml:space="preserve"> ;</w:t>
            </w:r>
            <w:r w:rsidRPr="00307FF0">
              <w:rPr>
                <w:rFonts w:asciiTheme="majorHAnsi" w:eastAsia="Times New Roman" w:hAnsiTheme="majorHAnsi" w:cs="Calibri"/>
                <w:bCs/>
                <w:lang w:eastAsia="fr-FR"/>
              </w:rPr>
              <w:t xml:space="preserve"> une dérogation à cette règle pourra être faite, à titre exceptionnel, dans le cas de structures ayant changé de statuts ou de nom au cours des trois dernières années, mais effectuant les mêmes missions avec les mêmes moyens depuis trois ans.</w:t>
            </w:r>
          </w:p>
          <w:p w:rsidR="004032AB" w:rsidRPr="004032AB" w:rsidRDefault="004032AB" w:rsidP="004032AB">
            <w:pPr>
              <w:pStyle w:val="Paragraphedeliste"/>
              <w:spacing w:after="0" w:line="240" w:lineRule="auto"/>
              <w:ind w:right="284"/>
              <w:jc w:val="both"/>
              <w:rPr>
                <w:rFonts w:asciiTheme="majorHAnsi" w:eastAsia="Times New Roman" w:hAnsiTheme="majorHAnsi" w:cs="Calibri"/>
                <w:lang w:eastAsia="fr-FR"/>
              </w:rPr>
            </w:pPr>
          </w:p>
          <w:p w:rsidR="00270691" w:rsidRPr="004032AB" w:rsidRDefault="00270691" w:rsidP="004032AB">
            <w:pPr>
              <w:pStyle w:val="Paragraphedeliste"/>
              <w:numPr>
                <w:ilvl w:val="0"/>
                <w:numId w:val="1"/>
              </w:numPr>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 xml:space="preserve">Il ne doit pas y avoir de contrôle majoritaire exercé par une ou des entité(s) publique(s) </w:t>
            </w:r>
            <w:r w:rsidRPr="00307FF0">
              <w:rPr>
                <w:rFonts w:asciiTheme="majorHAnsi" w:eastAsia="Times New Roman" w:hAnsiTheme="majorHAnsi" w:cs="Calibri"/>
                <w:bCs/>
                <w:lang w:eastAsia="fr-FR"/>
              </w:rPr>
              <w:t>de tout type</w:t>
            </w:r>
            <w:r w:rsidRPr="00307FF0">
              <w:rPr>
                <w:rFonts w:asciiTheme="majorHAnsi" w:eastAsia="Times New Roman" w:hAnsiTheme="majorHAnsi"/>
                <w:sz w:val="20"/>
                <w:szCs w:val="20"/>
                <w:lang w:eastAsia="fr-FR"/>
              </w:rPr>
              <w:t xml:space="preserve"> </w:t>
            </w:r>
            <w:r w:rsidRPr="00307FF0">
              <w:rPr>
                <w:rFonts w:asciiTheme="majorHAnsi" w:eastAsia="Times New Roman" w:hAnsiTheme="majorHAnsi" w:cs="Calibri"/>
                <w:lang w:eastAsia="fr-FR"/>
              </w:rPr>
              <w:t xml:space="preserve">au niveau du conseil d’administration et/ou de l’assemblée générale </w:t>
            </w:r>
            <w:r w:rsidRPr="00307FF0">
              <w:rPr>
                <w:rFonts w:asciiTheme="majorHAnsi" w:eastAsia="Times New Roman" w:hAnsiTheme="majorHAnsi"/>
                <w:sz w:val="20"/>
                <w:szCs w:val="20"/>
                <w:lang w:eastAsia="fr-FR"/>
              </w:rPr>
              <w:t>de l’OSC.</w:t>
            </w:r>
          </w:p>
          <w:p w:rsidR="004032AB" w:rsidRPr="004032AB" w:rsidRDefault="004032AB" w:rsidP="004032AB">
            <w:pPr>
              <w:spacing w:after="0" w:line="240" w:lineRule="auto"/>
              <w:ind w:right="284"/>
              <w:jc w:val="both"/>
              <w:rPr>
                <w:rFonts w:asciiTheme="majorHAnsi" w:eastAsia="Times New Roman" w:hAnsiTheme="majorHAnsi" w:cs="Calibri"/>
                <w:lang w:eastAsia="fr-FR"/>
              </w:rPr>
            </w:pPr>
          </w:p>
          <w:p w:rsidR="00270691" w:rsidRDefault="00270691" w:rsidP="004032AB">
            <w:pPr>
              <w:numPr>
                <w:ilvl w:val="0"/>
                <w:numId w:val="1"/>
              </w:numPr>
              <w:tabs>
                <w:tab w:val="left" w:pos="426"/>
              </w:tabs>
              <w:spacing w:after="0" w:line="240" w:lineRule="auto"/>
              <w:ind w:left="714" w:right="284" w:hanging="357"/>
              <w:contextualSpacing/>
              <w:jc w:val="both"/>
              <w:rPr>
                <w:rFonts w:asciiTheme="majorHAnsi" w:eastAsia="Times New Roman" w:hAnsiTheme="majorHAnsi" w:cs="Calibri"/>
                <w:lang w:eastAsia="fr-FR"/>
              </w:rPr>
            </w:pPr>
            <w:r w:rsidRPr="00307FF0">
              <w:rPr>
                <w:rFonts w:asciiTheme="majorHAnsi" w:eastAsia="Times New Roman" w:hAnsiTheme="majorHAnsi" w:cs="Calibri"/>
                <w:lang w:eastAsia="fr-FR"/>
              </w:rPr>
              <w:t>Il ne doit pas y avoir de contrôle majoritaire exercé par une ou plusieurs entreprise(s) privée(s) et/ou publique(s)  au niveau du conseil d’administration et/ou de l’assemblée générale de l’OSC ou des OSC qui la composent. Les personnes qualifiées membres des instances de gouvernance de l’OSC qui, de par leur fonction ou leur mandat, représentent une ou des entité(s) publique(s) ou privées de tout type, seront comptabilisées dans le collège des entités publiques ou privées.</w:t>
            </w:r>
          </w:p>
          <w:p w:rsidR="004032AB" w:rsidRPr="004032AB" w:rsidRDefault="004032AB" w:rsidP="004032AB">
            <w:pPr>
              <w:tabs>
                <w:tab w:val="left" w:pos="426"/>
              </w:tabs>
              <w:spacing w:after="0" w:line="240" w:lineRule="auto"/>
              <w:ind w:right="284"/>
              <w:contextualSpacing/>
              <w:jc w:val="both"/>
              <w:rPr>
                <w:rFonts w:asciiTheme="majorHAnsi" w:eastAsia="Times New Roman" w:hAnsiTheme="majorHAnsi" w:cs="Calibri"/>
                <w:lang w:eastAsia="fr-FR"/>
              </w:rPr>
            </w:pPr>
          </w:p>
          <w:p w:rsidR="004032AB" w:rsidRDefault="00270691" w:rsidP="004032AB">
            <w:pPr>
              <w:numPr>
                <w:ilvl w:val="0"/>
                <w:numId w:val="1"/>
              </w:numPr>
              <w:tabs>
                <w:tab w:val="left" w:pos="426"/>
              </w:tabs>
              <w:spacing w:after="0" w:line="240" w:lineRule="auto"/>
              <w:ind w:left="714" w:right="284" w:hanging="357"/>
              <w:contextualSpacing/>
              <w:jc w:val="both"/>
              <w:rPr>
                <w:rFonts w:asciiTheme="majorHAnsi" w:eastAsia="Times New Roman" w:hAnsiTheme="majorHAnsi" w:cs="Calibri"/>
                <w:lang w:eastAsia="fr-FR"/>
              </w:rPr>
            </w:pPr>
            <w:r w:rsidRPr="00307FF0">
              <w:rPr>
                <w:rFonts w:asciiTheme="majorHAnsi" w:eastAsia="Times New Roman" w:hAnsiTheme="majorHAnsi" w:cs="Calibri"/>
                <w:lang w:eastAsia="fr-FR"/>
              </w:rPr>
              <w:t>En ce qui concerne les OSC de nature mixte, les structures représentant les institutions publiques et les structures représentant les entreprises privées ne doivent pas, ensemble, exercer de contrôle majoritaire au niveau du conseil d’administration et/ou d</w:t>
            </w:r>
            <w:r w:rsidR="004032AB">
              <w:rPr>
                <w:rFonts w:asciiTheme="majorHAnsi" w:eastAsia="Times New Roman" w:hAnsiTheme="majorHAnsi" w:cs="Calibri"/>
                <w:lang w:eastAsia="fr-FR"/>
              </w:rPr>
              <w:t>e l’assemblée générale de l’OSC.</w:t>
            </w:r>
          </w:p>
          <w:p w:rsidR="004032AB" w:rsidRPr="004032AB" w:rsidRDefault="004032AB" w:rsidP="004032AB">
            <w:pPr>
              <w:tabs>
                <w:tab w:val="left" w:pos="426"/>
              </w:tabs>
              <w:spacing w:after="0" w:line="240" w:lineRule="auto"/>
              <w:ind w:right="284"/>
              <w:contextualSpacing/>
              <w:jc w:val="both"/>
              <w:rPr>
                <w:rFonts w:asciiTheme="majorHAnsi" w:eastAsia="Times New Roman" w:hAnsiTheme="majorHAnsi" w:cs="Calibri"/>
                <w:lang w:eastAsia="fr-FR"/>
              </w:rPr>
            </w:pPr>
          </w:p>
          <w:p w:rsidR="00270691" w:rsidRPr="004032AB" w:rsidRDefault="00270691" w:rsidP="004032AB">
            <w:pPr>
              <w:numPr>
                <w:ilvl w:val="0"/>
                <w:numId w:val="1"/>
              </w:numPr>
              <w:tabs>
                <w:tab w:val="left" w:pos="426"/>
              </w:tabs>
              <w:spacing w:after="0" w:line="240" w:lineRule="auto"/>
              <w:ind w:left="714" w:right="284" w:hanging="357"/>
              <w:contextualSpacing/>
              <w:jc w:val="both"/>
              <w:rPr>
                <w:rFonts w:asciiTheme="majorHAnsi" w:eastAsia="Times New Roman" w:hAnsiTheme="majorHAnsi" w:cs="Calibri"/>
                <w:lang w:eastAsia="fr-FR"/>
              </w:rPr>
            </w:pPr>
            <w:r w:rsidRPr="004032AB">
              <w:rPr>
                <w:rFonts w:asciiTheme="majorHAnsi" w:eastAsia="Times New Roman" w:hAnsiTheme="majorHAnsi" w:cs="Calibri"/>
                <w:lang w:eastAsia="fr-FR"/>
              </w:rPr>
              <w:t>Aucun membre du conseil d’administration ne doit être un agent en fonction et/ou mandaté de l’AFD ou de ses filiales.</w:t>
            </w:r>
            <w:r w:rsidRPr="004032AB">
              <w:rPr>
                <w:rFonts w:asciiTheme="majorHAnsi" w:eastAsia="Times New Roman" w:hAnsiTheme="majorHAnsi"/>
                <w:sz w:val="20"/>
                <w:szCs w:val="20"/>
                <w:lang w:eastAsia="fr-FR"/>
              </w:rPr>
              <w:t xml:space="preserve"> </w:t>
            </w:r>
          </w:p>
          <w:p w:rsidR="004032AB" w:rsidRPr="004032AB" w:rsidRDefault="004032AB" w:rsidP="004032AB">
            <w:pPr>
              <w:tabs>
                <w:tab w:val="left" w:pos="426"/>
              </w:tabs>
              <w:spacing w:after="0" w:line="240" w:lineRule="auto"/>
              <w:ind w:right="284"/>
              <w:contextualSpacing/>
              <w:jc w:val="both"/>
              <w:rPr>
                <w:rFonts w:asciiTheme="majorHAnsi" w:eastAsia="Times New Roman" w:hAnsiTheme="majorHAnsi" w:cs="Calibri"/>
                <w:lang w:eastAsia="fr-FR"/>
              </w:rPr>
            </w:pPr>
          </w:p>
          <w:p w:rsidR="00270691" w:rsidRPr="004032AB" w:rsidRDefault="00270691" w:rsidP="00573DCF">
            <w:pPr>
              <w:pStyle w:val="Paragraphedeliste"/>
              <w:numPr>
                <w:ilvl w:val="0"/>
                <w:numId w:val="1"/>
              </w:numPr>
              <w:spacing w:after="0" w:line="240" w:lineRule="auto"/>
              <w:ind w:right="284"/>
              <w:jc w:val="both"/>
              <w:rPr>
                <w:rFonts w:asciiTheme="majorHAnsi" w:eastAsia="Times New Roman" w:hAnsiTheme="majorHAnsi" w:cs="Calibri"/>
                <w:bCs/>
                <w:lang w:eastAsia="fr-FR"/>
              </w:rPr>
            </w:pPr>
            <w:r w:rsidRPr="00307FF0">
              <w:rPr>
                <w:rFonts w:asciiTheme="majorHAnsi" w:eastAsia="Times New Roman" w:hAnsiTheme="majorHAnsi" w:cs="Calibri"/>
                <w:lang w:eastAsia="fr-FR"/>
              </w:rPr>
              <w:t>Le siège social et la direction doivent être implantés en France. L’OSC doit justifier d’une réelle autonomie de sa structure (gouvernance propre, gestion propre, orientations stratégiques, etc.) à l’égard des entités publiques et/ou privées qui la soutiennent.</w:t>
            </w:r>
          </w:p>
          <w:p w:rsidR="004032AB" w:rsidRPr="004032AB" w:rsidRDefault="004032AB" w:rsidP="004032AB">
            <w:pPr>
              <w:spacing w:after="0" w:line="240" w:lineRule="auto"/>
              <w:ind w:right="284"/>
              <w:jc w:val="both"/>
              <w:rPr>
                <w:rFonts w:asciiTheme="majorHAnsi" w:eastAsia="Times New Roman" w:hAnsiTheme="majorHAnsi" w:cs="Calibri"/>
                <w:bCs/>
                <w:lang w:eastAsia="fr-FR"/>
              </w:rPr>
            </w:pPr>
          </w:p>
          <w:p w:rsidR="00270691" w:rsidRPr="00D3080B" w:rsidRDefault="00270691" w:rsidP="00270691">
            <w:pPr>
              <w:pStyle w:val="Paragraphedeliste"/>
              <w:numPr>
                <w:ilvl w:val="0"/>
                <w:numId w:val="1"/>
              </w:numPr>
              <w:spacing w:after="0" w:line="240" w:lineRule="auto"/>
              <w:ind w:right="284"/>
              <w:jc w:val="both"/>
              <w:rPr>
                <w:rFonts w:asciiTheme="majorHAnsi" w:eastAsia="Times New Roman" w:hAnsiTheme="majorHAnsi" w:cs="Calibri"/>
                <w:lang w:eastAsia="fr-FR"/>
              </w:rPr>
            </w:pPr>
            <w:r w:rsidRPr="00D3080B">
              <w:rPr>
                <w:rFonts w:asciiTheme="majorHAnsi" w:eastAsia="Times New Roman" w:hAnsiTheme="majorHAnsi" w:cs="Calibri"/>
                <w:lang w:eastAsia="fr-FR"/>
              </w:rPr>
              <w:t>L’éligibilité de l’OSC est évaluée par l’AFD à l’aune des documents qui lui seront soumis et des critères mentionnés</w:t>
            </w:r>
            <w:r w:rsidRPr="00D3080B">
              <w:rPr>
                <w:rFonts w:asciiTheme="majorHAnsi" w:eastAsia="Times New Roman" w:hAnsiTheme="majorHAnsi"/>
                <w:sz w:val="20"/>
                <w:szCs w:val="20"/>
                <w:lang w:eastAsia="fr-FR"/>
              </w:rPr>
              <w:t xml:space="preserve">. </w:t>
            </w:r>
            <w:r w:rsidRPr="00D3080B">
              <w:rPr>
                <w:rFonts w:asciiTheme="majorHAnsi" w:eastAsia="Times New Roman" w:hAnsiTheme="majorHAnsi" w:cs="Calibri"/>
                <w:lang w:eastAsia="fr-FR"/>
              </w:rPr>
              <w:t>Par ailleurs, l’AFD se réserve la possibilité d’exercer tout pouvoir discrétionnaire pour évaluer l’éligibilité de l’OSC.</w:t>
            </w:r>
          </w:p>
          <w:p w:rsidR="00270691" w:rsidRPr="00307FF0" w:rsidRDefault="00270691" w:rsidP="00573DCF">
            <w:pPr>
              <w:pStyle w:val="Paragraphedeliste"/>
              <w:spacing w:after="0" w:line="240" w:lineRule="auto"/>
              <w:ind w:right="284"/>
              <w:jc w:val="both"/>
              <w:rPr>
                <w:rFonts w:asciiTheme="majorHAnsi" w:eastAsia="Times New Roman" w:hAnsiTheme="majorHAnsi" w:cs="Calibri"/>
                <w:color w:val="000000"/>
                <w:lang w:eastAsia="fr-FR"/>
              </w:rPr>
            </w:pPr>
          </w:p>
        </w:tc>
      </w:tr>
      <w:tr w:rsidR="00270691" w:rsidRPr="00307FF0" w:rsidTr="00596C0D">
        <w:trPr>
          <w:trHeight w:val="960"/>
        </w:trPr>
        <w:tc>
          <w:tcPr>
            <w:tcW w:w="10363" w:type="dxa"/>
            <w:shd w:val="clear" w:color="auto" w:fill="auto"/>
            <w:hideMark/>
          </w:tcPr>
          <w:p w:rsidR="00270691" w:rsidRDefault="00270691" w:rsidP="00573DCF">
            <w:pPr>
              <w:spacing w:after="0" w:line="240" w:lineRule="auto"/>
              <w:ind w:right="284"/>
              <w:jc w:val="both"/>
              <w:rPr>
                <w:rFonts w:asciiTheme="majorHAnsi" w:eastAsia="Times New Roman" w:hAnsiTheme="majorHAnsi" w:cs="Calibri"/>
                <w:b/>
                <w:bCs/>
                <w:color w:val="000000"/>
                <w:lang w:eastAsia="fr-FR"/>
              </w:rPr>
            </w:pPr>
            <w:r w:rsidRPr="00307FF0">
              <w:rPr>
                <w:rFonts w:asciiTheme="majorHAnsi" w:eastAsia="Times New Roman" w:hAnsiTheme="majorHAnsi" w:cs="Calibri"/>
                <w:b/>
                <w:bCs/>
                <w:color w:val="000000"/>
                <w:u w:val="single"/>
                <w:lang w:eastAsia="fr-FR"/>
              </w:rPr>
              <w:t>Activités de l’OSC</w:t>
            </w:r>
            <w:r w:rsidRPr="00214503">
              <w:rPr>
                <w:rFonts w:asciiTheme="majorHAnsi" w:eastAsia="Times New Roman" w:hAnsiTheme="majorHAnsi" w:cs="Calibri"/>
                <w:b/>
                <w:bCs/>
                <w:color w:val="000000"/>
                <w:lang w:eastAsia="fr-FR"/>
              </w:rPr>
              <w:t xml:space="preserve"> : </w:t>
            </w:r>
          </w:p>
          <w:p w:rsidR="00270691" w:rsidRPr="00307FF0" w:rsidRDefault="00270691" w:rsidP="00573DCF">
            <w:pPr>
              <w:spacing w:after="0" w:line="240" w:lineRule="auto"/>
              <w:ind w:right="284"/>
              <w:jc w:val="both"/>
              <w:rPr>
                <w:rFonts w:asciiTheme="majorHAnsi" w:eastAsia="Times New Roman" w:hAnsiTheme="majorHAnsi" w:cs="Calibri"/>
                <w:color w:val="000000"/>
                <w:lang w:eastAsia="fr-FR"/>
              </w:rPr>
            </w:pPr>
          </w:p>
          <w:p w:rsidR="00270691" w:rsidRDefault="00270691" w:rsidP="004032AB">
            <w:pPr>
              <w:pStyle w:val="Paragraphedeliste"/>
              <w:numPr>
                <w:ilvl w:val="0"/>
                <w:numId w:val="1"/>
              </w:numPr>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L’OSC doit avoir dans ses missions sociales majeures l’objectif de mener des actions dans le domaine de l’aide au développement et de la solidarité internationale particulièrement en matière de lutte contre la pauvreté, de promotion de la gouvernance, de l’égalité de genre et de défense des droits fondamentaux, d’éducation au développement ou de renforcement des acteurs de la solidarité internationale.</w:t>
            </w:r>
          </w:p>
          <w:p w:rsidR="004032AB" w:rsidRPr="004032AB" w:rsidRDefault="004032AB" w:rsidP="004032AB">
            <w:pPr>
              <w:pStyle w:val="Paragraphedeliste"/>
              <w:spacing w:after="0" w:line="240" w:lineRule="auto"/>
              <w:ind w:right="284"/>
              <w:jc w:val="both"/>
              <w:rPr>
                <w:rFonts w:asciiTheme="majorHAnsi" w:eastAsia="Times New Roman" w:hAnsiTheme="majorHAnsi" w:cs="Calibri"/>
                <w:lang w:eastAsia="fr-FR"/>
              </w:rPr>
            </w:pPr>
          </w:p>
          <w:p w:rsidR="00270691" w:rsidRDefault="00270691" w:rsidP="004032AB">
            <w:pPr>
              <w:pStyle w:val="Paragraphedeliste"/>
              <w:numPr>
                <w:ilvl w:val="0"/>
                <w:numId w:val="1"/>
              </w:numPr>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 xml:space="preserve">Elle doit également avoir parmi ses objectifs le renforcement des organisations de la société civile </w:t>
            </w:r>
            <w:r w:rsidR="005379B0">
              <w:rPr>
                <w:rFonts w:asciiTheme="majorHAnsi" w:eastAsia="Times New Roman" w:hAnsiTheme="majorHAnsi" w:cs="Calibri"/>
                <w:lang w:eastAsia="fr-FR"/>
              </w:rPr>
              <w:t xml:space="preserve">en France et/ou </w:t>
            </w:r>
            <w:r w:rsidRPr="00307FF0">
              <w:rPr>
                <w:rFonts w:asciiTheme="majorHAnsi" w:eastAsia="Times New Roman" w:hAnsiTheme="majorHAnsi" w:cs="Calibri"/>
                <w:lang w:eastAsia="fr-FR"/>
              </w:rPr>
              <w:t xml:space="preserve">dans les pays </w:t>
            </w:r>
            <w:r w:rsidR="005379B0">
              <w:rPr>
                <w:rFonts w:asciiTheme="majorHAnsi" w:eastAsia="Times New Roman" w:hAnsiTheme="majorHAnsi" w:cs="Calibri"/>
                <w:lang w:eastAsia="fr-FR"/>
              </w:rPr>
              <w:t>du CAD de l’OCDE</w:t>
            </w:r>
            <w:r w:rsidRPr="00307FF0">
              <w:rPr>
                <w:rFonts w:asciiTheme="majorHAnsi" w:eastAsia="Times New Roman" w:hAnsiTheme="majorHAnsi" w:cs="Calibri"/>
                <w:lang w:eastAsia="fr-FR"/>
              </w:rPr>
              <w:t>. Les seules actions d’échanges, d’influence, de réflexion ou de production intellectuelle ne sont pas suffisantes pour être éligibles.</w:t>
            </w:r>
          </w:p>
          <w:p w:rsidR="004032AB" w:rsidRPr="004032AB" w:rsidRDefault="004032AB" w:rsidP="004032AB">
            <w:pPr>
              <w:spacing w:after="0" w:line="240" w:lineRule="auto"/>
              <w:ind w:right="284"/>
              <w:jc w:val="both"/>
              <w:rPr>
                <w:rFonts w:asciiTheme="majorHAnsi" w:eastAsia="Times New Roman" w:hAnsiTheme="majorHAnsi" w:cs="Calibri"/>
                <w:lang w:eastAsia="fr-FR"/>
              </w:rPr>
            </w:pPr>
          </w:p>
          <w:p w:rsidR="00270691" w:rsidRPr="00307FF0" w:rsidRDefault="00270691" w:rsidP="00270691">
            <w:pPr>
              <w:pStyle w:val="Paragraphedeliste"/>
              <w:numPr>
                <w:ilvl w:val="0"/>
                <w:numId w:val="1"/>
              </w:num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L’OSC doit pouvoir justifier d’activités de portée et de durée significatives à travers la mise en œuvre de projets ou programmes de développement</w:t>
            </w:r>
            <w:r w:rsidRPr="00307FF0">
              <w:rPr>
                <w:rFonts w:asciiTheme="majorHAnsi" w:eastAsia="Times New Roman" w:hAnsiTheme="majorHAnsi"/>
                <w:sz w:val="20"/>
                <w:szCs w:val="20"/>
                <w:lang w:eastAsia="fr-FR"/>
              </w:rPr>
              <w:t xml:space="preserve"> </w:t>
            </w:r>
            <w:r w:rsidRPr="00307FF0">
              <w:rPr>
                <w:rFonts w:asciiTheme="majorHAnsi" w:eastAsia="Times New Roman" w:hAnsiTheme="majorHAnsi" w:cs="Calibri"/>
                <w:lang w:eastAsia="fr-FR"/>
              </w:rPr>
              <w:t>ou d’éducation au développement</w:t>
            </w:r>
            <w:r w:rsidRPr="00307FF0">
              <w:rPr>
                <w:rFonts w:asciiTheme="majorHAnsi" w:eastAsia="Times New Roman" w:hAnsiTheme="majorHAnsi"/>
                <w:color w:val="FF0000"/>
                <w:sz w:val="20"/>
                <w:szCs w:val="20"/>
                <w:lang w:eastAsia="fr-FR"/>
              </w:rPr>
              <w:t xml:space="preserve"> </w:t>
            </w:r>
            <w:r w:rsidRPr="00307FF0">
              <w:rPr>
                <w:rFonts w:asciiTheme="majorHAnsi" w:eastAsia="Times New Roman" w:hAnsiTheme="majorHAnsi" w:cs="Calibri"/>
                <w:color w:val="000000"/>
                <w:lang w:eastAsia="fr-FR"/>
              </w:rPr>
              <w:t xml:space="preserve">dans le domaine du développement et de la solidarité internationale depuis trois années au minimum. </w:t>
            </w:r>
          </w:p>
          <w:p w:rsidR="00270691" w:rsidRPr="00307FF0" w:rsidRDefault="00270691" w:rsidP="00573DCF">
            <w:pPr>
              <w:spacing w:after="0" w:line="240" w:lineRule="auto"/>
              <w:ind w:left="360" w:right="284"/>
              <w:jc w:val="both"/>
              <w:rPr>
                <w:rFonts w:asciiTheme="majorHAnsi" w:eastAsia="Times New Roman" w:hAnsiTheme="majorHAnsi" w:cs="Calibri"/>
                <w:color w:val="000000"/>
                <w:lang w:eastAsia="fr-FR"/>
              </w:rPr>
            </w:pPr>
          </w:p>
          <w:p w:rsidR="00270691" w:rsidRDefault="00270691" w:rsidP="00573DCF">
            <w:pPr>
              <w:spacing w:after="0" w:line="240" w:lineRule="auto"/>
              <w:ind w:right="284"/>
              <w:jc w:val="both"/>
              <w:rPr>
                <w:rFonts w:asciiTheme="majorHAnsi" w:eastAsia="Times New Roman" w:hAnsiTheme="majorHAnsi" w:cs="Calibri"/>
                <w:b/>
                <w:bCs/>
                <w:color w:val="000000"/>
                <w:u w:val="single"/>
                <w:lang w:eastAsia="fr-FR"/>
              </w:rPr>
            </w:pPr>
            <w:r w:rsidRPr="00307FF0">
              <w:rPr>
                <w:rFonts w:asciiTheme="majorHAnsi" w:eastAsia="Times New Roman" w:hAnsiTheme="majorHAnsi" w:cs="Calibri"/>
                <w:b/>
                <w:bCs/>
                <w:color w:val="000000"/>
                <w:u w:val="single"/>
                <w:lang w:eastAsia="fr-FR"/>
              </w:rPr>
              <w:t>Vie de l’OSC</w:t>
            </w:r>
            <w:r w:rsidRPr="00214503">
              <w:rPr>
                <w:rFonts w:asciiTheme="majorHAnsi" w:eastAsia="Times New Roman" w:hAnsiTheme="majorHAnsi" w:cs="Calibri"/>
                <w:b/>
                <w:bCs/>
                <w:color w:val="000000"/>
                <w:lang w:eastAsia="fr-FR"/>
              </w:rPr>
              <w:t xml:space="preserve"> : </w:t>
            </w:r>
          </w:p>
          <w:p w:rsidR="00270691" w:rsidRPr="00307FF0" w:rsidRDefault="00270691" w:rsidP="00573DCF">
            <w:pPr>
              <w:spacing w:after="0" w:line="240" w:lineRule="auto"/>
              <w:ind w:right="284"/>
              <w:jc w:val="both"/>
              <w:rPr>
                <w:rFonts w:asciiTheme="majorHAnsi" w:eastAsia="Times New Roman" w:hAnsiTheme="majorHAnsi" w:cs="Calibri"/>
                <w:b/>
                <w:bCs/>
                <w:color w:val="000000"/>
                <w:u w:val="single"/>
                <w:lang w:eastAsia="fr-FR"/>
              </w:rPr>
            </w:pPr>
          </w:p>
          <w:p w:rsidR="00270691" w:rsidRDefault="00270691" w:rsidP="00573DCF">
            <w:p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Le demandeur doit justifier d’un fonctionnement interne qui s'apprécie su</w:t>
            </w:r>
            <w:r>
              <w:rPr>
                <w:rFonts w:asciiTheme="majorHAnsi" w:eastAsia="Times New Roman" w:hAnsiTheme="majorHAnsi" w:cs="Calibri"/>
                <w:color w:val="000000"/>
                <w:lang w:eastAsia="fr-FR"/>
              </w:rPr>
              <w:t>r la base des critères suivants</w:t>
            </w:r>
            <w:r w:rsidRPr="00307FF0">
              <w:rPr>
                <w:rFonts w:asciiTheme="majorHAnsi" w:eastAsia="Times New Roman" w:hAnsiTheme="majorHAnsi" w:cs="Calibri"/>
                <w:color w:val="000000"/>
                <w:lang w:eastAsia="fr-FR"/>
              </w:rPr>
              <w:t>:</w:t>
            </w:r>
          </w:p>
          <w:p w:rsidR="004032AB" w:rsidRPr="00307FF0" w:rsidRDefault="004032AB" w:rsidP="00573DCF">
            <w:pPr>
              <w:spacing w:after="0" w:line="240" w:lineRule="auto"/>
              <w:ind w:right="284"/>
              <w:jc w:val="both"/>
              <w:rPr>
                <w:rFonts w:asciiTheme="majorHAnsi" w:eastAsia="Times New Roman" w:hAnsiTheme="majorHAnsi" w:cs="Calibri"/>
                <w:color w:val="000000"/>
                <w:lang w:eastAsia="fr-FR"/>
              </w:rPr>
            </w:pPr>
          </w:p>
          <w:p w:rsidR="00270691" w:rsidRDefault="005379B0" w:rsidP="00270691">
            <w:pPr>
              <w:pStyle w:val="Paragraphedeliste"/>
              <w:numPr>
                <w:ilvl w:val="0"/>
                <w:numId w:val="3"/>
              </w:numPr>
              <w:spacing w:after="0" w:line="240" w:lineRule="auto"/>
              <w:ind w:right="284"/>
              <w:jc w:val="both"/>
              <w:rPr>
                <w:rFonts w:asciiTheme="majorHAnsi" w:eastAsia="Times New Roman" w:hAnsiTheme="majorHAnsi" w:cs="Calibri"/>
                <w:color w:val="000000"/>
                <w:lang w:eastAsia="fr-FR"/>
              </w:rPr>
            </w:pPr>
            <w:r>
              <w:rPr>
                <w:rFonts w:asciiTheme="majorHAnsi" w:eastAsia="Times New Roman" w:hAnsiTheme="majorHAnsi" w:cs="Calibri"/>
                <w:color w:val="000000"/>
                <w:lang w:eastAsia="fr-FR"/>
              </w:rPr>
              <w:t>L’OSC tient régulièrement l</w:t>
            </w:r>
            <w:r w:rsidR="00270691" w:rsidRPr="00307FF0">
              <w:rPr>
                <w:rFonts w:asciiTheme="majorHAnsi" w:eastAsia="Times New Roman" w:hAnsiTheme="majorHAnsi" w:cs="Calibri"/>
                <w:color w:val="000000"/>
                <w:lang w:eastAsia="fr-FR"/>
              </w:rPr>
              <w:t>es assemblées générales et réunit les instances de gouver</w:t>
            </w:r>
            <w:r>
              <w:rPr>
                <w:rFonts w:asciiTheme="majorHAnsi" w:eastAsia="Times New Roman" w:hAnsiTheme="majorHAnsi" w:cs="Calibri"/>
                <w:color w:val="000000"/>
                <w:lang w:eastAsia="fr-FR"/>
              </w:rPr>
              <w:t>nance prévues dans s</w:t>
            </w:r>
            <w:r w:rsidR="004032AB">
              <w:rPr>
                <w:rFonts w:asciiTheme="majorHAnsi" w:eastAsia="Times New Roman" w:hAnsiTheme="majorHAnsi" w:cs="Calibri"/>
                <w:color w:val="000000"/>
                <w:lang w:eastAsia="fr-FR"/>
              </w:rPr>
              <w:t>es statuts.</w:t>
            </w:r>
          </w:p>
          <w:p w:rsidR="004032AB" w:rsidRPr="00307FF0" w:rsidRDefault="004032AB" w:rsidP="004032AB">
            <w:pPr>
              <w:pStyle w:val="Paragraphedeliste"/>
              <w:spacing w:after="0" w:line="240" w:lineRule="auto"/>
              <w:ind w:right="284"/>
              <w:jc w:val="both"/>
              <w:rPr>
                <w:rFonts w:asciiTheme="majorHAnsi" w:eastAsia="Times New Roman" w:hAnsiTheme="majorHAnsi" w:cs="Calibri"/>
                <w:color w:val="000000"/>
                <w:lang w:eastAsia="fr-FR"/>
              </w:rPr>
            </w:pPr>
          </w:p>
          <w:p w:rsidR="00270691" w:rsidRPr="00307FF0" w:rsidRDefault="00270691" w:rsidP="00270691">
            <w:pPr>
              <w:pStyle w:val="Paragraphedeliste"/>
              <w:numPr>
                <w:ilvl w:val="0"/>
                <w:numId w:val="3"/>
              </w:num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L’OSC produit des documents annuels, y compris financiers, validés par l’Assemblée Générale, tels que prévus dans les statuts (fourniture au minimum du dernier compte-rendu d’assemblée générale, du rapport moral du président et du rapport du trésorier et/ou du commissaire aux comptes).</w:t>
            </w:r>
          </w:p>
          <w:p w:rsidR="00270691" w:rsidRPr="00307FF0" w:rsidRDefault="00270691" w:rsidP="00573DCF">
            <w:pPr>
              <w:spacing w:after="0" w:line="240" w:lineRule="auto"/>
              <w:ind w:left="360" w:right="284"/>
              <w:jc w:val="both"/>
              <w:rPr>
                <w:rFonts w:asciiTheme="majorHAnsi" w:eastAsia="Times New Roman" w:hAnsiTheme="majorHAnsi" w:cs="Calibri"/>
                <w:color w:val="000000"/>
                <w:lang w:eastAsia="fr-FR"/>
              </w:rPr>
            </w:pPr>
          </w:p>
        </w:tc>
      </w:tr>
      <w:tr w:rsidR="00270691" w:rsidRPr="00307FF0" w:rsidTr="00F47A98">
        <w:trPr>
          <w:trHeight w:val="5330"/>
        </w:trPr>
        <w:tc>
          <w:tcPr>
            <w:tcW w:w="10363" w:type="dxa"/>
            <w:shd w:val="clear" w:color="auto" w:fill="auto"/>
            <w:hideMark/>
          </w:tcPr>
          <w:p w:rsidR="00270691" w:rsidRPr="00BB1824" w:rsidRDefault="00270691" w:rsidP="00573DCF">
            <w:pPr>
              <w:spacing w:after="0" w:line="240" w:lineRule="auto"/>
              <w:ind w:right="284"/>
              <w:jc w:val="both"/>
              <w:rPr>
                <w:rFonts w:asciiTheme="majorHAnsi" w:eastAsia="Times New Roman" w:hAnsiTheme="majorHAnsi" w:cs="Calibri"/>
                <w:b/>
                <w:bCs/>
                <w:color w:val="000000"/>
                <w:lang w:eastAsia="fr-FR"/>
              </w:rPr>
            </w:pPr>
            <w:r w:rsidRPr="00BB1824">
              <w:rPr>
                <w:rFonts w:asciiTheme="majorHAnsi" w:eastAsia="Times New Roman" w:hAnsiTheme="majorHAnsi" w:cs="Calibri"/>
                <w:b/>
                <w:bCs/>
                <w:color w:val="000000"/>
                <w:u w:val="single"/>
                <w:lang w:eastAsia="fr-FR"/>
              </w:rPr>
              <w:t>Situation financière de l’OSC</w:t>
            </w:r>
            <w:r w:rsidRPr="00214503">
              <w:rPr>
                <w:rFonts w:asciiTheme="majorHAnsi" w:eastAsia="Times New Roman" w:hAnsiTheme="majorHAnsi" w:cs="Calibri"/>
                <w:b/>
                <w:bCs/>
                <w:color w:val="000000"/>
                <w:lang w:eastAsia="fr-FR"/>
              </w:rPr>
              <w:t xml:space="preserve"> : </w:t>
            </w:r>
          </w:p>
          <w:p w:rsidR="00270691" w:rsidRPr="00BB1824" w:rsidRDefault="00270691" w:rsidP="00573DCF">
            <w:pPr>
              <w:spacing w:after="0" w:line="240" w:lineRule="auto"/>
              <w:ind w:right="284"/>
              <w:jc w:val="both"/>
              <w:rPr>
                <w:rFonts w:asciiTheme="majorHAnsi" w:eastAsia="Times New Roman" w:hAnsiTheme="majorHAnsi" w:cs="Calibri"/>
                <w:color w:val="000000"/>
                <w:lang w:eastAsia="fr-FR"/>
              </w:rPr>
            </w:pPr>
          </w:p>
          <w:p w:rsidR="00270691" w:rsidRPr="00BB1824" w:rsidRDefault="00270691" w:rsidP="00270691">
            <w:pPr>
              <w:pStyle w:val="Paragraphedeliste"/>
              <w:numPr>
                <w:ilvl w:val="0"/>
                <w:numId w:val="4"/>
              </w:numPr>
              <w:spacing w:after="240" w:line="240" w:lineRule="auto"/>
              <w:ind w:right="284"/>
              <w:jc w:val="both"/>
              <w:rPr>
                <w:rFonts w:asciiTheme="majorHAnsi" w:eastAsia="Times New Roman" w:hAnsiTheme="majorHAnsi" w:cs="Calibri"/>
                <w:bCs/>
                <w:color w:val="7030A0"/>
                <w:lang w:eastAsia="fr-FR"/>
              </w:rPr>
            </w:pPr>
            <w:r w:rsidRPr="00BB1824">
              <w:rPr>
                <w:rFonts w:asciiTheme="majorHAnsi" w:eastAsia="Times New Roman" w:hAnsiTheme="majorHAnsi" w:cs="Calibri"/>
                <w:color w:val="000000"/>
                <w:lang w:eastAsia="fr-FR"/>
              </w:rPr>
              <w:t xml:space="preserve">Les informations comptables et financières de la structure doivent être validées conformément à la loi française régissant les OSC, notamment concernant la validation des comptes de l’association par un Commissaire aux comptes. Ces informations, fournies au moment du dépôt du dossier, sont vérifiées durant la </w:t>
            </w:r>
            <w:r w:rsidR="005379B0">
              <w:rPr>
                <w:rFonts w:asciiTheme="majorHAnsi" w:eastAsia="Times New Roman" w:hAnsiTheme="majorHAnsi" w:cs="Calibri"/>
                <w:color w:val="000000"/>
                <w:lang w:eastAsia="fr-FR"/>
              </w:rPr>
              <w:t>pré</w:t>
            </w:r>
            <w:r w:rsidRPr="00BB1824">
              <w:rPr>
                <w:rFonts w:asciiTheme="majorHAnsi" w:eastAsia="Times New Roman" w:hAnsiTheme="majorHAnsi" w:cs="Calibri"/>
                <w:color w:val="000000"/>
                <w:lang w:eastAsia="fr-FR"/>
              </w:rPr>
              <w:t>sélection des projets.</w:t>
            </w:r>
            <w:r w:rsidRPr="00BB1824">
              <w:rPr>
                <w:rFonts w:asciiTheme="majorHAnsi" w:eastAsia="Times New Roman" w:hAnsiTheme="majorHAnsi" w:cs="Calibri"/>
                <w:bCs/>
                <w:color w:val="7030A0"/>
                <w:lang w:eastAsia="fr-FR"/>
              </w:rPr>
              <w:t xml:space="preserve"> </w:t>
            </w:r>
          </w:p>
          <w:p w:rsidR="00270691" w:rsidRPr="00BB1824" w:rsidRDefault="00270691" w:rsidP="00573DCF">
            <w:pPr>
              <w:pStyle w:val="Paragraphedeliste"/>
              <w:spacing w:after="240" w:line="240" w:lineRule="auto"/>
              <w:ind w:right="284"/>
              <w:jc w:val="both"/>
              <w:rPr>
                <w:rFonts w:asciiTheme="majorHAnsi" w:eastAsia="Times New Roman" w:hAnsiTheme="majorHAnsi" w:cs="Calibri"/>
                <w:bCs/>
                <w:color w:val="7030A0"/>
                <w:lang w:eastAsia="fr-FR"/>
              </w:rPr>
            </w:pPr>
          </w:p>
          <w:p w:rsidR="00270691" w:rsidRPr="00BB1824" w:rsidRDefault="00270691" w:rsidP="00270691">
            <w:pPr>
              <w:pStyle w:val="Paragraphedeliste"/>
              <w:numPr>
                <w:ilvl w:val="0"/>
                <w:numId w:val="4"/>
              </w:numPr>
              <w:spacing w:after="240" w:line="240" w:lineRule="auto"/>
              <w:ind w:right="284"/>
              <w:contextualSpacing w:val="0"/>
              <w:jc w:val="both"/>
              <w:rPr>
                <w:rFonts w:asciiTheme="majorHAnsi" w:eastAsia="Times New Roman" w:hAnsiTheme="majorHAnsi" w:cs="Calibri"/>
                <w:b/>
                <w:color w:val="000000"/>
                <w:lang w:eastAsia="fr-FR"/>
              </w:rPr>
            </w:pPr>
            <w:r w:rsidRPr="00BB1824">
              <w:rPr>
                <w:rFonts w:asciiTheme="majorHAnsi" w:eastAsia="Times New Roman" w:hAnsiTheme="majorHAnsi" w:cs="Calibri"/>
                <w:bCs/>
                <w:lang w:eastAsia="fr-FR"/>
              </w:rPr>
              <w:t>Afin de veiller au respect de la diversité des OSC</w:t>
            </w:r>
            <w:r w:rsidR="004032AB">
              <w:rPr>
                <w:rFonts w:asciiTheme="majorHAnsi" w:eastAsia="Times New Roman" w:hAnsiTheme="majorHAnsi" w:cs="Calibri"/>
                <w:bCs/>
                <w:lang w:eastAsia="fr-FR"/>
              </w:rPr>
              <w:t xml:space="preserve"> bénéficiant des financements </w:t>
            </w:r>
            <w:r w:rsidR="004032AB" w:rsidRPr="004032AB">
              <w:rPr>
                <w:rFonts w:asciiTheme="majorHAnsi" w:eastAsia="Times New Roman" w:hAnsiTheme="majorHAnsi" w:cs="Calibri"/>
                <w:bCs/>
                <w:i/>
                <w:lang w:eastAsia="fr-FR"/>
              </w:rPr>
              <w:t>"I</w:t>
            </w:r>
            <w:r w:rsidR="005379B0">
              <w:rPr>
                <w:rFonts w:asciiTheme="majorHAnsi" w:eastAsia="Times New Roman" w:hAnsiTheme="majorHAnsi" w:cs="Calibri"/>
                <w:bCs/>
                <w:i/>
                <w:lang w:eastAsia="fr-FR"/>
              </w:rPr>
              <w:t>nitiatives OSC</w:t>
            </w:r>
            <w:r w:rsidRPr="004032AB">
              <w:rPr>
                <w:rFonts w:asciiTheme="majorHAnsi" w:eastAsia="Times New Roman" w:hAnsiTheme="majorHAnsi" w:cs="Calibri"/>
                <w:bCs/>
                <w:i/>
                <w:lang w:eastAsia="fr-FR"/>
              </w:rPr>
              <w:t>",</w:t>
            </w:r>
            <w:r w:rsidRPr="00BB1824">
              <w:rPr>
                <w:rFonts w:asciiTheme="majorHAnsi" w:eastAsia="Times New Roman" w:hAnsiTheme="majorHAnsi" w:cs="Calibri"/>
                <w:bCs/>
                <w:lang w:eastAsia="fr-FR"/>
              </w:rPr>
              <w:t xml:space="preserve"> l'atteinte par une OSC d'un montan</w:t>
            </w:r>
            <w:r w:rsidR="005379B0">
              <w:rPr>
                <w:rFonts w:asciiTheme="majorHAnsi" w:eastAsia="Times New Roman" w:hAnsiTheme="majorHAnsi" w:cs="Calibri"/>
                <w:bCs/>
                <w:lang w:eastAsia="fr-FR"/>
              </w:rPr>
              <w:t xml:space="preserve">t de cofinancements de SPC/DPO </w:t>
            </w:r>
            <w:r w:rsidRPr="00BB1824">
              <w:rPr>
                <w:rFonts w:asciiTheme="majorHAnsi" w:eastAsia="Times New Roman" w:hAnsiTheme="majorHAnsi" w:cs="Calibri"/>
                <w:bCs/>
                <w:lang w:eastAsia="fr-FR"/>
              </w:rPr>
              <w:t>supérieur à 6 millions d'euros sur 3</w:t>
            </w:r>
            <w:r w:rsidR="004032AB">
              <w:rPr>
                <w:rFonts w:asciiTheme="majorHAnsi" w:eastAsia="Times New Roman" w:hAnsiTheme="majorHAnsi" w:cs="Calibri"/>
                <w:bCs/>
                <w:lang w:eastAsia="fr-FR"/>
              </w:rPr>
              <w:t xml:space="preserve"> années consécutives </w:t>
            </w:r>
            <w:r w:rsidR="005379B0">
              <w:rPr>
                <w:rFonts w:asciiTheme="majorHAnsi" w:eastAsia="Times New Roman" w:hAnsiTheme="majorHAnsi" w:cs="Calibri"/>
                <w:bCs/>
                <w:lang w:eastAsia="fr-FR"/>
              </w:rPr>
              <w:t>à partir</w:t>
            </w:r>
            <w:r w:rsidR="005379B0" w:rsidRPr="00BB1824">
              <w:rPr>
                <w:rFonts w:asciiTheme="majorHAnsi" w:eastAsia="Times New Roman" w:hAnsiTheme="majorHAnsi" w:cs="Calibri"/>
                <w:bCs/>
                <w:lang w:eastAsia="fr-FR"/>
              </w:rPr>
              <w:t xml:space="preserve"> 2016</w:t>
            </w:r>
            <w:r w:rsidR="005379B0">
              <w:rPr>
                <w:rFonts w:asciiTheme="majorHAnsi" w:eastAsia="Times New Roman" w:hAnsiTheme="majorHAnsi" w:cs="Calibri"/>
                <w:bCs/>
                <w:lang w:eastAsia="fr-FR"/>
              </w:rPr>
              <w:t xml:space="preserve">, </w:t>
            </w:r>
            <w:r w:rsidR="004032AB">
              <w:rPr>
                <w:rFonts w:asciiTheme="majorHAnsi" w:eastAsia="Times New Roman" w:hAnsiTheme="majorHAnsi" w:cs="Calibri"/>
                <w:bCs/>
                <w:lang w:eastAsia="fr-FR"/>
              </w:rPr>
              <w:t>constitue</w:t>
            </w:r>
            <w:r w:rsidRPr="00BB1824">
              <w:rPr>
                <w:rFonts w:asciiTheme="majorHAnsi" w:eastAsia="Times New Roman" w:hAnsiTheme="majorHAnsi" w:cs="Calibri"/>
                <w:bCs/>
                <w:lang w:eastAsia="fr-FR"/>
              </w:rPr>
              <w:t>, un seuil d'alerte qui entrainera un refus de la part de SPC/DPO de toute demande de cofinancement qui dépasserait ce plafond, sauf cas particuliers dûment justifiés, discutés en amont et acceptés par SPC/DPO.</w:t>
            </w:r>
          </w:p>
          <w:p w:rsidR="00270691" w:rsidRDefault="00270691" w:rsidP="00270691">
            <w:pPr>
              <w:pStyle w:val="Paragraphedeliste"/>
              <w:numPr>
                <w:ilvl w:val="0"/>
                <w:numId w:val="4"/>
              </w:numPr>
              <w:spacing w:after="240" w:line="240" w:lineRule="auto"/>
              <w:ind w:right="284"/>
              <w:contextualSpacing w:val="0"/>
              <w:jc w:val="both"/>
              <w:rPr>
                <w:rFonts w:asciiTheme="majorHAnsi" w:eastAsia="Times New Roman" w:hAnsiTheme="majorHAnsi" w:cs="Calibri"/>
                <w:bCs/>
                <w:lang w:eastAsia="fr-FR"/>
              </w:rPr>
            </w:pPr>
            <w:r w:rsidRPr="00BB1824">
              <w:rPr>
                <w:rFonts w:asciiTheme="majorHAnsi" w:eastAsia="Times New Roman" w:hAnsiTheme="majorHAnsi" w:cs="Calibri"/>
                <w:bCs/>
                <w:lang w:eastAsia="fr-FR"/>
              </w:rPr>
              <w:t xml:space="preserve">L’OSC doit avoir la capacité financière et de gestion de réaliser le projet pour lequel elle sollicite un cofinancement. Une attention particulière sera apportée à la comparaison entre le budget annuel du projet et le budget annuel de l’OSC ainsi qu’aux ressources humaines dont l’OSC dispose au niveau de son siège Ainsi, SPC/DPO veillera à ce que la moyenne du coût annuel du projet n’excède pas </w:t>
            </w:r>
            <w:r>
              <w:rPr>
                <w:rFonts w:asciiTheme="majorHAnsi" w:eastAsia="Times New Roman" w:hAnsiTheme="majorHAnsi" w:cs="Calibri"/>
                <w:bCs/>
                <w:lang w:eastAsia="fr-FR"/>
              </w:rPr>
              <w:t>70% du</w:t>
            </w:r>
            <w:r w:rsidRPr="00BB1824">
              <w:rPr>
                <w:rFonts w:asciiTheme="majorHAnsi" w:eastAsia="Times New Roman" w:hAnsiTheme="majorHAnsi" w:cs="Calibri"/>
                <w:bCs/>
                <w:lang w:eastAsia="fr-FR"/>
              </w:rPr>
              <w:t xml:space="preserve"> budget annuel de l’OSC</w:t>
            </w:r>
            <w:r>
              <w:rPr>
                <w:rFonts w:asciiTheme="majorHAnsi" w:eastAsia="Times New Roman" w:hAnsiTheme="majorHAnsi" w:cs="Calibri"/>
                <w:bCs/>
                <w:lang w:eastAsia="fr-FR"/>
              </w:rPr>
              <w:t>, sauf cas dument justifié,</w:t>
            </w:r>
            <w:r w:rsidRPr="00BB1824">
              <w:rPr>
                <w:rFonts w:asciiTheme="majorHAnsi" w:eastAsia="Times New Roman" w:hAnsiTheme="majorHAnsi" w:cs="Calibri"/>
                <w:bCs/>
                <w:lang w:eastAsia="fr-FR"/>
              </w:rPr>
              <w:t xml:space="preserve"> et examinera également le nombre de projets en cours de financement avec l’OSC concernée.</w:t>
            </w:r>
            <w:r>
              <w:rPr>
                <w:rFonts w:asciiTheme="majorHAnsi" w:eastAsia="Times New Roman" w:hAnsiTheme="majorHAnsi" w:cs="Calibri"/>
                <w:bCs/>
                <w:lang w:eastAsia="fr-FR"/>
              </w:rPr>
              <w:t xml:space="preserve"> </w:t>
            </w:r>
          </w:p>
          <w:p w:rsidR="007815F0" w:rsidRPr="004032AB" w:rsidRDefault="007815F0" w:rsidP="004032AB">
            <w:pPr>
              <w:spacing w:after="240" w:line="240" w:lineRule="auto"/>
              <w:ind w:right="284"/>
              <w:jc w:val="both"/>
              <w:rPr>
                <w:rFonts w:asciiTheme="majorHAnsi" w:eastAsia="Times New Roman" w:hAnsiTheme="majorHAnsi" w:cs="Calibri"/>
                <w:bCs/>
                <w:lang w:eastAsia="fr-FR"/>
              </w:rPr>
            </w:pPr>
          </w:p>
        </w:tc>
      </w:tr>
    </w:tbl>
    <w:p w:rsidR="00F47A98" w:rsidRDefault="00F47A98" w:rsidP="00214503">
      <w:pPr>
        <w:spacing w:after="0"/>
      </w:pPr>
    </w:p>
    <w:p w:rsidR="00F47A98" w:rsidRDefault="00F47A98">
      <w:r>
        <w:br w:type="page"/>
      </w:r>
    </w:p>
    <w:p w:rsidR="00F47A98" w:rsidRDefault="00F47A98"/>
    <w:tbl>
      <w:tblPr>
        <w:tblW w:w="10363" w:type="dxa"/>
        <w:tblInd w:w="-654" w:type="dxa"/>
        <w:tblCellMar>
          <w:left w:w="70" w:type="dxa"/>
          <w:right w:w="70" w:type="dxa"/>
        </w:tblCellMar>
        <w:tblLook w:val="04A0" w:firstRow="1" w:lastRow="0" w:firstColumn="1" w:lastColumn="0" w:noHBand="0" w:noVBand="1"/>
      </w:tblPr>
      <w:tblGrid>
        <w:gridCol w:w="10363"/>
      </w:tblGrid>
      <w:tr w:rsidR="00270691" w:rsidRPr="00307FF0" w:rsidTr="00596C0D">
        <w:trPr>
          <w:trHeight w:val="428"/>
        </w:trPr>
        <w:tc>
          <w:tcPr>
            <w:tcW w:w="10363" w:type="dxa"/>
            <w:tcBorders>
              <w:left w:val="single" w:sz="4" w:space="0" w:color="auto"/>
              <w:bottom w:val="single" w:sz="4" w:space="0" w:color="auto"/>
              <w:right w:val="single" w:sz="4" w:space="0" w:color="auto"/>
            </w:tcBorders>
            <w:shd w:val="clear" w:color="auto" w:fill="C00000"/>
            <w:hideMark/>
          </w:tcPr>
          <w:p w:rsidR="007815F0" w:rsidRPr="00501E26" w:rsidRDefault="007815F0" w:rsidP="007815F0">
            <w:pPr>
              <w:spacing w:after="0" w:line="240" w:lineRule="auto"/>
              <w:ind w:right="284"/>
              <w:jc w:val="center"/>
              <w:rPr>
                <w:rFonts w:asciiTheme="majorHAnsi" w:eastAsia="Times New Roman" w:hAnsiTheme="majorHAnsi" w:cs="Calibri"/>
                <w:b/>
                <w:bCs/>
                <w:sz w:val="24"/>
                <w:szCs w:val="24"/>
                <w:lang w:eastAsia="fr-FR"/>
              </w:rPr>
            </w:pPr>
            <w:r w:rsidRPr="00501E26">
              <w:rPr>
                <w:rFonts w:asciiTheme="majorHAnsi" w:eastAsia="Times New Roman" w:hAnsiTheme="majorHAnsi" w:cs="Calibri"/>
                <w:b/>
                <w:bCs/>
                <w:sz w:val="24"/>
                <w:szCs w:val="24"/>
                <w:lang w:eastAsia="fr-FR"/>
              </w:rPr>
              <w:t xml:space="preserve">Critères d’éligibilité </w:t>
            </w:r>
            <w:r w:rsidRPr="00501E26">
              <w:rPr>
                <w:rFonts w:asciiTheme="majorHAnsi" w:eastAsia="Times New Roman" w:hAnsiTheme="majorHAnsi" w:cs="Calibri"/>
                <w:b/>
                <w:bCs/>
                <w:sz w:val="24"/>
                <w:szCs w:val="24"/>
                <w:u w:val="single"/>
                <w:lang w:eastAsia="fr-FR"/>
              </w:rPr>
              <w:t>additionnels</w:t>
            </w:r>
            <w:r w:rsidRPr="00501E26">
              <w:rPr>
                <w:rFonts w:asciiTheme="majorHAnsi" w:eastAsia="Times New Roman" w:hAnsiTheme="majorHAnsi" w:cs="Calibri"/>
                <w:b/>
                <w:bCs/>
                <w:sz w:val="24"/>
                <w:szCs w:val="24"/>
                <w:lang w:eastAsia="fr-FR"/>
              </w:rPr>
              <w:t xml:space="preserve"> relatifs à l’OSC </w:t>
            </w:r>
          </w:p>
          <w:p w:rsidR="004032AB" w:rsidRPr="00501E26" w:rsidRDefault="007815F0" w:rsidP="007815F0">
            <w:pPr>
              <w:spacing w:after="0" w:line="240" w:lineRule="auto"/>
              <w:ind w:right="284"/>
              <w:jc w:val="center"/>
              <w:rPr>
                <w:rFonts w:asciiTheme="majorHAnsi" w:eastAsia="Times New Roman" w:hAnsiTheme="majorHAnsi" w:cs="Calibri"/>
                <w:b/>
                <w:bCs/>
                <w:sz w:val="24"/>
                <w:szCs w:val="24"/>
                <w:u w:val="single"/>
                <w:lang w:eastAsia="fr-FR"/>
              </w:rPr>
            </w:pPr>
            <w:bookmarkStart w:id="0" w:name="_GoBack"/>
            <w:bookmarkEnd w:id="0"/>
            <w:r w:rsidRPr="00501E26">
              <w:rPr>
                <w:rFonts w:asciiTheme="majorHAnsi" w:eastAsia="Times New Roman" w:hAnsiTheme="majorHAnsi" w:cs="Calibri"/>
                <w:b/>
                <w:bCs/>
                <w:sz w:val="24"/>
                <w:szCs w:val="24"/>
                <w:u w:val="single"/>
                <w:lang w:eastAsia="fr-FR"/>
              </w:rPr>
              <w:t xml:space="preserve">dans le cas du </w:t>
            </w:r>
            <w:r w:rsidR="00501E26" w:rsidRPr="00501E26">
              <w:rPr>
                <w:rFonts w:asciiTheme="majorHAnsi" w:eastAsia="Times New Roman" w:hAnsiTheme="majorHAnsi" w:cs="Calibri"/>
                <w:b/>
                <w:bCs/>
                <w:sz w:val="24"/>
                <w:szCs w:val="24"/>
                <w:u w:val="single"/>
                <w:lang w:eastAsia="fr-FR"/>
              </w:rPr>
              <w:t>dépôt</w:t>
            </w:r>
            <w:r w:rsidRPr="00501E26">
              <w:rPr>
                <w:rFonts w:asciiTheme="majorHAnsi" w:eastAsia="Times New Roman" w:hAnsiTheme="majorHAnsi" w:cs="Calibri"/>
                <w:b/>
                <w:bCs/>
                <w:sz w:val="24"/>
                <w:szCs w:val="24"/>
                <w:u w:val="single"/>
                <w:lang w:eastAsia="fr-FR"/>
              </w:rPr>
              <w:t xml:space="preserve"> d’une convention-programme</w:t>
            </w:r>
          </w:p>
          <w:p w:rsidR="007815F0" w:rsidRPr="007815F0" w:rsidRDefault="007815F0" w:rsidP="007815F0">
            <w:pPr>
              <w:spacing w:after="0" w:line="240" w:lineRule="auto"/>
              <w:ind w:right="284"/>
              <w:jc w:val="center"/>
              <w:rPr>
                <w:rFonts w:asciiTheme="majorHAnsi" w:eastAsia="Times New Roman" w:hAnsiTheme="majorHAnsi" w:cs="Calibri"/>
                <w:b/>
                <w:bCs/>
                <w:sz w:val="24"/>
                <w:szCs w:val="24"/>
                <w:u w:val="single"/>
                <w:lang w:eastAsia="fr-FR"/>
              </w:rPr>
            </w:pPr>
          </w:p>
        </w:tc>
      </w:tr>
    </w:tbl>
    <w:p w:rsidR="00270691" w:rsidRDefault="00270691" w:rsidP="00270691">
      <w:pPr>
        <w:spacing w:after="0" w:line="240" w:lineRule="auto"/>
        <w:ind w:right="284"/>
        <w:jc w:val="both"/>
        <w:rPr>
          <w:rFonts w:asciiTheme="majorHAnsi" w:eastAsia="Times New Roman" w:hAnsiTheme="majorHAnsi" w:cs="Calibri"/>
          <w:b/>
          <w:bCs/>
          <w:color w:val="000000"/>
          <w:u w:val="single"/>
          <w:lang w:eastAsia="fr-FR"/>
        </w:rPr>
      </w:pPr>
    </w:p>
    <w:p w:rsidR="00270691" w:rsidRDefault="00270691" w:rsidP="00270691">
      <w:pPr>
        <w:spacing w:after="0" w:line="240" w:lineRule="auto"/>
        <w:ind w:left="-709" w:right="284"/>
        <w:jc w:val="both"/>
        <w:rPr>
          <w:rFonts w:asciiTheme="majorHAnsi" w:eastAsia="Times New Roman" w:hAnsiTheme="majorHAnsi" w:cs="Calibri"/>
          <w:b/>
          <w:bCs/>
          <w:color w:val="000000"/>
          <w:u w:val="single"/>
          <w:lang w:eastAsia="fr-FR"/>
        </w:rPr>
      </w:pPr>
      <w:r w:rsidRPr="00307FF0">
        <w:rPr>
          <w:rFonts w:asciiTheme="majorHAnsi" w:eastAsia="Times New Roman" w:hAnsiTheme="majorHAnsi" w:cs="Calibri"/>
          <w:b/>
          <w:bCs/>
          <w:color w:val="000000"/>
          <w:u w:val="single"/>
          <w:lang w:eastAsia="fr-FR"/>
        </w:rPr>
        <w:t>Budget annuel de l’OSC</w:t>
      </w:r>
      <w:r w:rsidRPr="00214503">
        <w:rPr>
          <w:rFonts w:asciiTheme="majorHAnsi" w:eastAsia="Times New Roman" w:hAnsiTheme="majorHAnsi" w:cs="Calibri"/>
          <w:b/>
          <w:bCs/>
          <w:color w:val="000000"/>
          <w:lang w:eastAsia="fr-FR"/>
        </w:rPr>
        <w:t xml:space="preserve"> : </w:t>
      </w:r>
    </w:p>
    <w:p w:rsidR="00270691" w:rsidRPr="00307FF0" w:rsidRDefault="00270691" w:rsidP="00270691">
      <w:pPr>
        <w:spacing w:after="0" w:line="240" w:lineRule="auto"/>
        <w:ind w:left="-709" w:right="284"/>
        <w:jc w:val="both"/>
        <w:rPr>
          <w:rFonts w:asciiTheme="majorHAnsi" w:eastAsia="Times New Roman" w:hAnsiTheme="majorHAnsi" w:cs="Calibri"/>
          <w:b/>
          <w:bCs/>
          <w:color w:val="000000"/>
          <w:u w:val="single"/>
          <w:lang w:eastAsia="fr-FR"/>
        </w:rPr>
      </w:pPr>
    </w:p>
    <w:p w:rsidR="00270691" w:rsidRPr="00307FF0" w:rsidRDefault="00270691" w:rsidP="00270691">
      <w:pPr>
        <w:pStyle w:val="Paragraphedeliste"/>
        <w:numPr>
          <w:ilvl w:val="0"/>
          <w:numId w:val="4"/>
        </w:numPr>
        <w:spacing w:after="240" w:line="240" w:lineRule="auto"/>
        <w:ind w:left="142" w:right="284" w:hanging="426"/>
        <w:contextualSpacing w:val="0"/>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L'O</w:t>
      </w:r>
      <w:r w:rsidR="004032AB">
        <w:rPr>
          <w:rFonts w:asciiTheme="majorHAnsi" w:eastAsia="Times New Roman" w:hAnsiTheme="majorHAnsi" w:cs="Calibri"/>
          <w:bCs/>
          <w:lang w:eastAsia="fr-FR"/>
        </w:rPr>
        <w:t xml:space="preserve">SC doit avoir un budget annuel </w:t>
      </w:r>
      <w:r w:rsidRPr="00307FF0">
        <w:rPr>
          <w:rFonts w:asciiTheme="majorHAnsi" w:eastAsia="Times New Roman" w:hAnsiTheme="majorHAnsi" w:cs="Calibri"/>
          <w:bCs/>
          <w:lang w:eastAsia="fr-FR"/>
        </w:rPr>
        <w:t>supérieur ou égal à 1,5 M€</w:t>
      </w:r>
      <w:r w:rsidR="00DD4607">
        <w:rPr>
          <w:rFonts w:asciiTheme="majorHAnsi" w:eastAsia="Times New Roman" w:hAnsiTheme="majorHAnsi" w:cs="Calibri"/>
          <w:bCs/>
          <w:lang w:eastAsia="fr-FR"/>
        </w:rPr>
        <w:t>.</w:t>
      </w:r>
    </w:p>
    <w:p w:rsidR="00270691" w:rsidRPr="00307FF0" w:rsidRDefault="00270691" w:rsidP="00270691">
      <w:pPr>
        <w:pStyle w:val="Paragraphedeliste"/>
        <w:numPr>
          <w:ilvl w:val="0"/>
          <w:numId w:val="4"/>
        </w:numPr>
        <w:spacing w:after="240" w:line="240" w:lineRule="auto"/>
        <w:ind w:left="142" w:right="284" w:hanging="426"/>
        <w:contextualSpacing w:val="0"/>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Le budget annuel de la convention-programme</w:t>
      </w:r>
      <w:r w:rsidR="00DD4607">
        <w:rPr>
          <w:rFonts w:asciiTheme="majorHAnsi" w:eastAsia="Times New Roman" w:hAnsiTheme="majorHAnsi" w:cs="Calibri"/>
          <w:bCs/>
          <w:lang w:eastAsia="fr-FR"/>
        </w:rPr>
        <w:t xml:space="preserve"> ne doit pas dépasser le tiers </w:t>
      </w:r>
      <w:r w:rsidRPr="00307FF0">
        <w:rPr>
          <w:rFonts w:asciiTheme="majorHAnsi" w:eastAsia="Times New Roman" w:hAnsiTheme="majorHAnsi" w:cs="Calibri"/>
          <w:bCs/>
          <w:lang w:eastAsia="fr-FR"/>
        </w:rPr>
        <w:t>du budget annuel total de l’OSC</w:t>
      </w:r>
      <w:r w:rsidR="00DD4607">
        <w:rPr>
          <w:rFonts w:asciiTheme="majorHAnsi" w:eastAsia="Times New Roman" w:hAnsiTheme="majorHAnsi" w:cs="Calibri"/>
          <w:bCs/>
          <w:lang w:eastAsia="fr-FR"/>
        </w:rPr>
        <w:t>.</w:t>
      </w:r>
    </w:p>
    <w:p w:rsidR="00270691" w:rsidRPr="00307FF0" w:rsidRDefault="00270691" w:rsidP="00270691">
      <w:pPr>
        <w:pStyle w:val="Paragraphedeliste"/>
        <w:numPr>
          <w:ilvl w:val="0"/>
          <w:numId w:val="4"/>
        </w:numPr>
        <w:spacing w:after="240" w:line="240" w:lineRule="auto"/>
        <w:ind w:left="142" w:right="284" w:hanging="426"/>
        <w:contextualSpacing w:val="0"/>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Une même OSC ne peut pas avoir plus de deux conventions programmes en cours</w:t>
      </w:r>
      <w:r w:rsidR="004032AB">
        <w:rPr>
          <w:rFonts w:asciiTheme="majorHAnsi" w:eastAsia="Times New Roman" w:hAnsiTheme="majorHAnsi" w:cs="Calibri"/>
          <w:bCs/>
          <w:lang w:eastAsia="fr-FR"/>
        </w:rPr>
        <w:t>.</w:t>
      </w:r>
    </w:p>
    <w:p w:rsidR="00270691" w:rsidRPr="00307FF0" w:rsidRDefault="00270691" w:rsidP="00270691">
      <w:pPr>
        <w:spacing w:after="0" w:line="240" w:lineRule="auto"/>
        <w:ind w:right="284"/>
        <w:jc w:val="both"/>
        <w:rPr>
          <w:rFonts w:asciiTheme="majorHAnsi" w:eastAsia="Times New Roman" w:hAnsiTheme="majorHAnsi" w:cs="Calibri"/>
          <w:color w:val="000000"/>
          <w:lang w:eastAsia="fr-FR"/>
        </w:rPr>
      </w:pPr>
    </w:p>
    <w:p w:rsidR="00270691" w:rsidRDefault="00270691" w:rsidP="00270691">
      <w:pPr>
        <w:spacing w:after="0" w:line="240" w:lineRule="auto"/>
        <w:ind w:left="-709" w:right="284"/>
        <w:jc w:val="both"/>
        <w:rPr>
          <w:rFonts w:asciiTheme="majorHAnsi" w:eastAsia="Times New Roman" w:hAnsiTheme="majorHAnsi" w:cs="Calibri"/>
          <w:color w:val="000000"/>
          <w:u w:val="single"/>
          <w:lang w:eastAsia="fr-FR"/>
        </w:rPr>
      </w:pPr>
      <w:r w:rsidRPr="00307FF0">
        <w:rPr>
          <w:rFonts w:asciiTheme="majorHAnsi" w:eastAsia="Times New Roman" w:hAnsiTheme="majorHAnsi" w:cs="Calibri"/>
          <w:b/>
          <w:bCs/>
          <w:color w:val="000000"/>
          <w:u w:val="single"/>
          <w:lang w:eastAsia="fr-FR"/>
        </w:rPr>
        <w:t>Seuil de dépendance de l’OSC aux financements publics</w:t>
      </w:r>
      <w:r w:rsidRPr="00214503">
        <w:rPr>
          <w:rFonts w:asciiTheme="majorHAnsi" w:eastAsia="Times New Roman" w:hAnsiTheme="majorHAnsi" w:cs="Calibri"/>
          <w:b/>
          <w:bCs/>
          <w:color w:val="000000"/>
          <w:lang w:eastAsia="fr-FR"/>
        </w:rPr>
        <w:t xml:space="preserve"> :</w:t>
      </w:r>
      <w:r w:rsidRPr="00214503">
        <w:rPr>
          <w:rFonts w:asciiTheme="majorHAnsi" w:eastAsia="Times New Roman" w:hAnsiTheme="majorHAnsi" w:cs="Calibri"/>
          <w:color w:val="000000"/>
          <w:lang w:eastAsia="fr-FR"/>
        </w:rPr>
        <w:t xml:space="preserve"> </w:t>
      </w:r>
    </w:p>
    <w:p w:rsidR="00270691" w:rsidRPr="00307FF0" w:rsidRDefault="00270691" w:rsidP="00270691">
      <w:pPr>
        <w:spacing w:after="0" w:line="240" w:lineRule="auto"/>
        <w:ind w:left="-709" w:right="284"/>
        <w:jc w:val="both"/>
        <w:rPr>
          <w:rFonts w:asciiTheme="majorHAnsi" w:eastAsia="Times New Roman" w:hAnsiTheme="majorHAnsi" w:cs="Calibri"/>
          <w:color w:val="000000"/>
          <w:u w:val="single"/>
          <w:lang w:eastAsia="fr-FR"/>
        </w:rPr>
      </w:pPr>
    </w:p>
    <w:p w:rsidR="00270691" w:rsidRPr="00307FF0" w:rsidRDefault="00270691" w:rsidP="007815F0">
      <w:pPr>
        <w:pStyle w:val="Paragraphedeliste"/>
        <w:numPr>
          <w:ilvl w:val="0"/>
          <w:numId w:val="4"/>
        </w:numPr>
        <w:spacing w:after="240" w:line="240" w:lineRule="auto"/>
        <w:ind w:left="142" w:right="284" w:hanging="426"/>
        <w:contextualSpacing w:val="0"/>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 xml:space="preserve">Sur les trois dernières années, la part moyenne des subventions accordées par l’AFD </w:t>
      </w:r>
      <w:r w:rsidR="004032AB">
        <w:rPr>
          <w:rFonts w:asciiTheme="majorHAnsi" w:eastAsia="Times New Roman" w:hAnsiTheme="majorHAnsi" w:cs="Calibri"/>
          <w:bCs/>
          <w:lang w:eastAsia="fr-FR"/>
        </w:rPr>
        <w:t>(</w:t>
      </w:r>
      <w:r w:rsidR="00DD4607">
        <w:rPr>
          <w:rFonts w:asciiTheme="majorHAnsi" w:eastAsia="Times New Roman" w:hAnsiTheme="majorHAnsi" w:cs="Calibri"/>
          <w:bCs/>
          <w:lang w:eastAsia="fr-FR"/>
        </w:rPr>
        <w:t>SPC/</w:t>
      </w:r>
      <w:r w:rsidR="004032AB">
        <w:rPr>
          <w:rFonts w:asciiTheme="majorHAnsi" w:eastAsia="Times New Roman" w:hAnsiTheme="majorHAnsi" w:cs="Calibri"/>
          <w:bCs/>
          <w:lang w:eastAsia="fr-FR"/>
        </w:rPr>
        <w:t xml:space="preserve">DPO, FFEM, FISONG) </w:t>
      </w:r>
      <w:r w:rsidRPr="00307FF0">
        <w:rPr>
          <w:rFonts w:asciiTheme="majorHAnsi" w:eastAsia="Times New Roman" w:hAnsiTheme="majorHAnsi" w:cs="Calibri"/>
          <w:bCs/>
          <w:lang w:eastAsia="fr-FR"/>
        </w:rPr>
        <w:t>ne doit pas dépasser 35% du budget annuel de l’OSC.</w:t>
      </w:r>
    </w:p>
    <w:p w:rsidR="007815F0" w:rsidRDefault="00270691" w:rsidP="007815F0">
      <w:pPr>
        <w:pStyle w:val="Paragraphedeliste"/>
        <w:numPr>
          <w:ilvl w:val="0"/>
          <w:numId w:val="4"/>
        </w:numPr>
        <w:spacing w:after="240" w:line="240" w:lineRule="auto"/>
        <w:ind w:left="142" w:right="284" w:hanging="426"/>
        <w:contextualSpacing w:val="0"/>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L'OSC doit avoir bénéficié dans les six dernières années d'au moi</w:t>
      </w:r>
      <w:r w:rsidR="007815F0">
        <w:rPr>
          <w:rFonts w:asciiTheme="majorHAnsi" w:eastAsia="Times New Roman" w:hAnsiTheme="majorHAnsi" w:cs="Calibri"/>
          <w:bCs/>
          <w:lang w:eastAsia="fr-FR"/>
        </w:rPr>
        <w:t>ns deux cofinancements de l’AFD (</w:t>
      </w:r>
      <w:r w:rsidR="00DD4607">
        <w:rPr>
          <w:rFonts w:asciiTheme="majorHAnsi" w:eastAsia="Times New Roman" w:hAnsiTheme="majorHAnsi" w:cs="Calibri"/>
          <w:bCs/>
          <w:lang w:eastAsia="fr-FR"/>
        </w:rPr>
        <w:t>SPC/</w:t>
      </w:r>
      <w:r w:rsidR="007815F0">
        <w:rPr>
          <w:rFonts w:asciiTheme="majorHAnsi" w:eastAsia="Times New Roman" w:hAnsiTheme="majorHAnsi" w:cs="Calibri"/>
          <w:bCs/>
          <w:lang w:eastAsia="fr-FR"/>
        </w:rPr>
        <w:t xml:space="preserve">DPO, FFEM, FISONG) </w:t>
      </w:r>
      <w:r w:rsidRPr="00307FF0">
        <w:rPr>
          <w:rFonts w:asciiTheme="majorHAnsi" w:eastAsia="Times New Roman" w:hAnsiTheme="majorHAnsi" w:cs="Calibri"/>
          <w:bCs/>
          <w:lang w:eastAsia="fr-FR"/>
        </w:rPr>
        <w:t>pour un total supérieur à 600 000 € et doit mettre en œuvre des projets de taille significative</w:t>
      </w:r>
      <w:r w:rsidR="007815F0">
        <w:rPr>
          <w:rFonts w:asciiTheme="majorHAnsi" w:eastAsia="Times New Roman" w:hAnsiTheme="majorHAnsi" w:cs="Calibri"/>
          <w:bCs/>
          <w:lang w:eastAsia="fr-FR"/>
        </w:rPr>
        <w:t>.</w:t>
      </w:r>
    </w:p>
    <w:p w:rsidR="007815F0" w:rsidRDefault="007815F0" w:rsidP="007815F0">
      <w:pPr>
        <w:spacing w:after="240" w:line="240" w:lineRule="auto"/>
        <w:ind w:right="284"/>
        <w:rPr>
          <w:rFonts w:asciiTheme="majorHAnsi" w:eastAsia="Times New Roman" w:hAnsiTheme="majorHAnsi" w:cs="Calibri"/>
          <w:bCs/>
          <w:lang w:eastAsia="fr-FR"/>
        </w:rPr>
      </w:pPr>
    </w:p>
    <w:p w:rsidR="00596C0D" w:rsidRDefault="00596C0D">
      <w:pPr>
        <w:rPr>
          <w:rFonts w:asciiTheme="majorHAnsi" w:eastAsia="Times New Roman" w:hAnsiTheme="majorHAnsi" w:cs="Calibri"/>
          <w:bCs/>
          <w:lang w:eastAsia="fr-FR"/>
        </w:rPr>
      </w:pPr>
      <w:r>
        <w:rPr>
          <w:rFonts w:asciiTheme="majorHAnsi" w:eastAsia="Times New Roman" w:hAnsiTheme="majorHAnsi" w:cs="Calibri"/>
          <w:bCs/>
          <w:lang w:eastAsia="fr-FR"/>
        </w:rPr>
        <w:br w:type="page"/>
      </w:r>
    </w:p>
    <w:p w:rsidR="007815F0" w:rsidRPr="007815F0" w:rsidRDefault="007815F0" w:rsidP="007815F0">
      <w:pPr>
        <w:spacing w:after="240" w:line="240" w:lineRule="auto"/>
        <w:ind w:right="284"/>
        <w:rPr>
          <w:rFonts w:asciiTheme="majorHAnsi" w:eastAsia="Times New Roman" w:hAnsiTheme="majorHAnsi" w:cs="Calibri"/>
          <w:bCs/>
          <w:lang w:eastAsia="fr-FR"/>
        </w:rPr>
      </w:pPr>
    </w:p>
    <w:p w:rsidR="00596C0D" w:rsidRPr="00596C0D" w:rsidRDefault="00596C0D" w:rsidP="00596C0D">
      <w:pPr>
        <w:pBdr>
          <w:top w:val="single" w:sz="4" w:space="1" w:color="auto"/>
          <w:left w:val="single" w:sz="4" w:space="4" w:color="auto"/>
          <w:bottom w:val="single" w:sz="4" w:space="1" w:color="auto"/>
          <w:right w:val="single" w:sz="4" w:space="4" w:color="auto"/>
        </w:pBdr>
        <w:shd w:val="clear" w:color="auto" w:fill="C00000"/>
        <w:spacing w:after="0" w:line="240" w:lineRule="auto"/>
        <w:ind w:left="142" w:right="284"/>
        <w:jc w:val="center"/>
        <w:rPr>
          <w:rFonts w:asciiTheme="majorHAnsi" w:eastAsia="Times New Roman" w:hAnsiTheme="majorHAnsi" w:cs="Calibri"/>
          <w:b/>
          <w:bCs/>
          <w:color w:val="FFFFFF" w:themeColor="background1"/>
          <w:sz w:val="20"/>
          <w:szCs w:val="20"/>
          <w:lang w:eastAsia="fr-FR"/>
        </w:rPr>
      </w:pPr>
    </w:p>
    <w:p w:rsidR="00596C0D" w:rsidRPr="007815F0" w:rsidRDefault="00596C0D" w:rsidP="00596C0D">
      <w:pPr>
        <w:pBdr>
          <w:top w:val="single" w:sz="4" w:space="1" w:color="auto"/>
          <w:left w:val="single" w:sz="4" w:space="4" w:color="auto"/>
          <w:bottom w:val="single" w:sz="4" w:space="1" w:color="auto"/>
          <w:right w:val="single" w:sz="4" w:space="4" w:color="auto"/>
        </w:pBdr>
        <w:shd w:val="clear" w:color="auto" w:fill="C00000"/>
        <w:spacing w:after="0" w:line="240" w:lineRule="auto"/>
        <w:ind w:left="142" w:right="284"/>
        <w:jc w:val="center"/>
        <w:rPr>
          <w:rFonts w:asciiTheme="majorHAnsi" w:eastAsia="Times New Roman" w:hAnsiTheme="majorHAnsi" w:cs="Calibri"/>
          <w:b/>
          <w:bCs/>
          <w:color w:val="FFFFFF" w:themeColor="background1"/>
          <w:sz w:val="28"/>
          <w:szCs w:val="28"/>
          <w:lang w:eastAsia="fr-FR"/>
        </w:rPr>
      </w:pPr>
      <w:r w:rsidRPr="007815F0">
        <w:rPr>
          <w:rFonts w:asciiTheme="majorHAnsi" w:eastAsia="Times New Roman" w:hAnsiTheme="majorHAnsi" w:cs="Calibri"/>
          <w:b/>
          <w:bCs/>
          <w:color w:val="FFFFFF" w:themeColor="background1"/>
          <w:sz w:val="28"/>
          <w:szCs w:val="28"/>
          <w:lang w:eastAsia="fr-FR"/>
        </w:rPr>
        <w:t xml:space="preserve">Critères de </w:t>
      </w:r>
      <w:proofErr w:type="spellStart"/>
      <w:r w:rsidRPr="007815F0">
        <w:rPr>
          <w:rFonts w:asciiTheme="majorHAnsi" w:eastAsia="Times New Roman" w:hAnsiTheme="majorHAnsi" w:cs="Calibri"/>
          <w:b/>
          <w:bCs/>
          <w:color w:val="FFFFFF" w:themeColor="background1"/>
          <w:sz w:val="28"/>
          <w:szCs w:val="28"/>
          <w:lang w:eastAsia="fr-FR"/>
        </w:rPr>
        <w:t>présélection</w:t>
      </w:r>
      <w:proofErr w:type="spellEnd"/>
      <w:r w:rsidRPr="007815F0">
        <w:rPr>
          <w:rFonts w:asciiTheme="majorHAnsi" w:eastAsia="Times New Roman" w:hAnsiTheme="majorHAnsi" w:cs="Calibri"/>
          <w:b/>
          <w:bCs/>
          <w:color w:val="FFFFFF" w:themeColor="background1"/>
          <w:sz w:val="28"/>
          <w:szCs w:val="28"/>
          <w:lang w:eastAsia="fr-FR"/>
        </w:rPr>
        <w:t xml:space="preserve"> du projet ou du programme</w:t>
      </w:r>
    </w:p>
    <w:p w:rsidR="00596C0D" w:rsidRDefault="00596C0D" w:rsidP="00596C0D">
      <w:pPr>
        <w:pBdr>
          <w:top w:val="single" w:sz="4" w:space="1" w:color="auto"/>
          <w:left w:val="single" w:sz="4" w:space="4" w:color="auto"/>
          <w:bottom w:val="single" w:sz="4" w:space="1" w:color="auto"/>
          <w:right w:val="single" w:sz="4" w:space="4" w:color="auto"/>
        </w:pBdr>
        <w:shd w:val="clear" w:color="auto" w:fill="C00000"/>
        <w:spacing w:after="0" w:line="240" w:lineRule="auto"/>
        <w:ind w:left="142" w:right="284"/>
        <w:jc w:val="center"/>
        <w:rPr>
          <w:rFonts w:asciiTheme="majorHAnsi" w:eastAsia="Times New Roman" w:hAnsiTheme="majorHAnsi" w:cs="Calibri"/>
          <w:b/>
          <w:bCs/>
          <w:color w:val="FFFFFF" w:themeColor="background1"/>
          <w:sz w:val="28"/>
          <w:szCs w:val="28"/>
          <w:lang w:eastAsia="fr-FR"/>
        </w:rPr>
      </w:pPr>
      <w:proofErr w:type="gramStart"/>
      <w:r w:rsidRPr="007815F0">
        <w:rPr>
          <w:rFonts w:asciiTheme="majorHAnsi" w:eastAsia="Times New Roman" w:hAnsiTheme="majorHAnsi" w:cs="Calibri"/>
          <w:b/>
          <w:bCs/>
          <w:color w:val="FFFFFF" w:themeColor="background1"/>
          <w:sz w:val="28"/>
          <w:szCs w:val="28"/>
          <w:u w:val="single"/>
          <w:lang w:eastAsia="fr-FR"/>
        </w:rPr>
        <w:t>de</w:t>
      </w:r>
      <w:proofErr w:type="gramEnd"/>
      <w:r w:rsidRPr="007815F0">
        <w:rPr>
          <w:rFonts w:asciiTheme="majorHAnsi" w:eastAsia="Times New Roman" w:hAnsiTheme="majorHAnsi" w:cs="Calibri"/>
          <w:b/>
          <w:bCs/>
          <w:color w:val="FFFFFF" w:themeColor="background1"/>
          <w:sz w:val="28"/>
          <w:szCs w:val="28"/>
          <w:u w:val="single"/>
          <w:lang w:eastAsia="fr-FR"/>
        </w:rPr>
        <w:t xml:space="preserve"> terrain</w:t>
      </w:r>
      <w:r w:rsidRPr="007815F0">
        <w:rPr>
          <w:rFonts w:asciiTheme="majorHAnsi" w:eastAsia="Times New Roman" w:hAnsiTheme="majorHAnsi" w:cs="Calibri"/>
          <w:b/>
          <w:bCs/>
          <w:color w:val="FFFFFF" w:themeColor="background1"/>
          <w:sz w:val="28"/>
          <w:szCs w:val="28"/>
          <w:lang w:eastAsia="fr-FR"/>
        </w:rPr>
        <w:t xml:space="preserve"> présenté</w:t>
      </w:r>
    </w:p>
    <w:p w:rsidR="00596C0D" w:rsidRPr="00596C0D" w:rsidRDefault="00596C0D" w:rsidP="00596C0D">
      <w:pPr>
        <w:pBdr>
          <w:top w:val="single" w:sz="4" w:space="1" w:color="auto"/>
          <w:left w:val="single" w:sz="4" w:space="4" w:color="auto"/>
          <w:bottom w:val="single" w:sz="4" w:space="1" w:color="auto"/>
          <w:right w:val="single" w:sz="4" w:space="4" w:color="auto"/>
        </w:pBdr>
        <w:shd w:val="clear" w:color="auto" w:fill="C00000"/>
        <w:spacing w:after="0" w:line="240" w:lineRule="auto"/>
        <w:ind w:left="142" w:right="284"/>
        <w:jc w:val="center"/>
        <w:rPr>
          <w:rFonts w:asciiTheme="majorHAnsi" w:eastAsia="Times New Roman" w:hAnsiTheme="majorHAnsi" w:cs="Calibri"/>
          <w:b/>
          <w:bCs/>
          <w:color w:val="FFFFFF" w:themeColor="background1"/>
          <w:sz w:val="20"/>
          <w:szCs w:val="20"/>
          <w:lang w:eastAsia="fr-FR"/>
        </w:rPr>
      </w:pPr>
    </w:p>
    <w:p w:rsidR="00596C0D" w:rsidRDefault="00596C0D"/>
    <w:p w:rsidR="00596C0D" w:rsidRDefault="00596C0D" w:rsidP="00596C0D">
      <w:pPr>
        <w:spacing w:after="0" w:line="240" w:lineRule="auto"/>
        <w:ind w:right="284"/>
        <w:jc w:val="both"/>
        <w:rPr>
          <w:rFonts w:asciiTheme="majorHAnsi" w:eastAsia="Times New Roman" w:hAnsiTheme="majorHAnsi" w:cs="Calibri"/>
          <w:b/>
          <w:bCs/>
          <w:lang w:eastAsia="fr-FR"/>
        </w:rPr>
      </w:pPr>
      <w:r w:rsidRPr="00307FF0">
        <w:rPr>
          <w:rFonts w:asciiTheme="majorHAnsi" w:eastAsia="Times New Roman" w:hAnsiTheme="majorHAnsi" w:cs="Calibri"/>
          <w:b/>
          <w:bCs/>
          <w:lang w:eastAsia="fr-FR"/>
        </w:rPr>
        <w:t xml:space="preserve">Il est impératif que le projet/programme cible principalement le renforcement des acteurs de la société civile locale (et non pas uniquement les services étatiques centraux ou déconcentrés du pays d'intervention, ceux-ci devant être par ailleurs associés au projet, sauf si le contexte du pays ne le permet pas). </w:t>
      </w:r>
    </w:p>
    <w:p w:rsidR="00596C0D" w:rsidRPr="00307FF0" w:rsidRDefault="00596C0D" w:rsidP="00596C0D">
      <w:pPr>
        <w:spacing w:after="0" w:line="240" w:lineRule="auto"/>
        <w:ind w:right="284"/>
        <w:jc w:val="both"/>
        <w:rPr>
          <w:rFonts w:asciiTheme="majorHAnsi" w:eastAsia="Times New Roman" w:hAnsiTheme="majorHAnsi" w:cs="Calibri"/>
          <w:b/>
          <w:lang w:eastAsia="fr-FR"/>
        </w:rPr>
      </w:pPr>
    </w:p>
    <w:p w:rsidR="00596C0D" w:rsidRPr="003D5625"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color w:val="000000"/>
          <w:lang w:eastAsia="fr-FR"/>
        </w:rPr>
      </w:pPr>
      <w:r w:rsidRPr="00307FF0">
        <w:rPr>
          <w:rFonts w:asciiTheme="majorHAnsi" w:eastAsia="Times New Roman" w:hAnsiTheme="majorHAnsi" w:cs="Calibri"/>
          <w:color w:val="000000"/>
          <w:lang w:eastAsia="fr-FR"/>
        </w:rPr>
        <w:t>Le partenaire local peut-être une organisation de la société civile locale qui, en partenariat avec l’OSC porteuse du projet, assume l’identification, la conception et la réalisation sur le terrain du projet cofinancé. Le concept de partenariat suppose des objectifs conjoints, des responsabilités partagées en ce qui concerne les réalisations, des engagements réciproques et une obligation de rendre compte de manière claire.</w:t>
      </w:r>
    </w:p>
    <w:p w:rsidR="00596C0D" w:rsidRPr="00307FF0" w:rsidRDefault="00596C0D" w:rsidP="00596C0D">
      <w:pPr>
        <w:pStyle w:val="Paragraphedeliste"/>
        <w:spacing w:after="0" w:line="240" w:lineRule="auto"/>
        <w:ind w:right="284"/>
        <w:jc w:val="both"/>
        <w:rPr>
          <w:rFonts w:asciiTheme="majorHAnsi" w:eastAsia="Times New Roman" w:hAnsiTheme="majorHAnsi" w:cs="Calibri"/>
          <w:b/>
          <w:bCs/>
          <w:color w:val="000000"/>
          <w:lang w:eastAsia="fr-FR"/>
        </w:rPr>
      </w:pPr>
    </w:p>
    <w:p w:rsidR="00596C0D" w:rsidRPr="00307FF0"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color w:val="000000"/>
          <w:lang w:eastAsia="fr-FR"/>
        </w:rPr>
      </w:pPr>
      <w:r w:rsidRPr="00307FF0">
        <w:rPr>
          <w:rFonts w:asciiTheme="majorHAnsi" w:eastAsia="Times New Roman" w:hAnsiTheme="majorHAnsi" w:cs="Calibri"/>
          <w:color w:val="000000"/>
          <w:lang w:eastAsia="fr-FR"/>
        </w:rPr>
        <w:t>La structure locale peut être formelle ou informelle. Il peut s'agir :</w:t>
      </w:r>
    </w:p>
    <w:p w:rsidR="00596C0D" w:rsidRPr="00307FF0" w:rsidRDefault="00596C0D" w:rsidP="00596C0D">
      <w:pPr>
        <w:pStyle w:val="Paragraphedeliste"/>
        <w:numPr>
          <w:ilvl w:val="1"/>
          <w:numId w:val="5"/>
        </w:numPr>
        <w:spacing w:after="0" w:line="240" w:lineRule="auto"/>
        <w:ind w:right="284"/>
        <w:jc w:val="both"/>
        <w:rPr>
          <w:rFonts w:asciiTheme="majorHAnsi" w:eastAsia="Times New Roman" w:hAnsiTheme="majorHAnsi" w:cs="Calibri"/>
          <w:b/>
          <w:bCs/>
          <w:color w:val="000000"/>
          <w:lang w:eastAsia="fr-FR"/>
        </w:rPr>
      </w:pPr>
      <w:r w:rsidRPr="00307FF0">
        <w:rPr>
          <w:rFonts w:asciiTheme="majorHAnsi" w:eastAsia="Times New Roman" w:hAnsiTheme="majorHAnsi" w:cs="Calibri"/>
          <w:color w:val="000000"/>
          <w:lang w:eastAsia="fr-FR"/>
        </w:rPr>
        <w:t>d'une organisation de la société civ</w:t>
      </w:r>
      <w:r>
        <w:rPr>
          <w:rFonts w:asciiTheme="majorHAnsi" w:eastAsia="Times New Roman" w:hAnsiTheme="majorHAnsi" w:cs="Calibri"/>
          <w:color w:val="000000"/>
          <w:lang w:eastAsia="fr-FR"/>
        </w:rPr>
        <w:t xml:space="preserve">ile (acteur non gouvernemental) </w:t>
      </w:r>
      <w:r w:rsidRPr="00307FF0">
        <w:rPr>
          <w:rFonts w:asciiTheme="majorHAnsi" w:eastAsia="Times New Roman" w:hAnsiTheme="majorHAnsi" w:cs="Calibri"/>
          <w:color w:val="000000"/>
          <w:lang w:eastAsia="fr-FR"/>
        </w:rPr>
        <w:t xml:space="preserve">structurée localement qui contribue, par ses actions dans le cadre du projet, au bien commun dans le domaine du développement économique, social et culturel ; </w:t>
      </w:r>
    </w:p>
    <w:p w:rsidR="00596C0D" w:rsidRPr="00307FF0" w:rsidRDefault="00596C0D" w:rsidP="00596C0D">
      <w:pPr>
        <w:pStyle w:val="Paragraphedeliste"/>
        <w:numPr>
          <w:ilvl w:val="1"/>
          <w:numId w:val="5"/>
        </w:numPr>
        <w:spacing w:after="0" w:line="240" w:lineRule="auto"/>
        <w:ind w:right="284"/>
        <w:jc w:val="both"/>
        <w:rPr>
          <w:rFonts w:asciiTheme="majorHAnsi" w:eastAsia="Times New Roman" w:hAnsiTheme="majorHAnsi" w:cs="Calibri"/>
          <w:b/>
          <w:bCs/>
          <w:color w:val="000000"/>
          <w:lang w:eastAsia="fr-FR"/>
        </w:rPr>
      </w:pPr>
      <w:r w:rsidRPr="00307FF0">
        <w:rPr>
          <w:rFonts w:asciiTheme="majorHAnsi" w:eastAsia="Times New Roman" w:hAnsiTheme="majorHAnsi" w:cs="Calibri"/>
          <w:color w:val="000000"/>
          <w:lang w:eastAsia="fr-FR"/>
        </w:rPr>
        <w:t xml:space="preserve">d’une organisation de base </w:t>
      </w:r>
      <w:r>
        <w:rPr>
          <w:rFonts w:asciiTheme="majorHAnsi" w:eastAsia="Times New Roman" w:hAnsiTheme="majorHAnsi" w:cs="Calibri"/>
          <w:color w:val="000000"/>
          <w:lang w:eastAsia="fr-FR"/>
        </w:rPr>
        <w:t xml:space="preserve">(communautaire) </w:t>
      </w:r>
      <w:r w:rsidRPr="00307FF0">
        <w:rPr>
          <w:rFonts w:asciiTheme="majorHAnsi" w:eastAsia="Times New Roman" w:hAnsiTheme="majorHAnsi" w:cs="Calibri"/>
          <w:color w:val="000000"/>
          <w:lang w:eastAsia="fr-FR"/>
        </w:rPr>
        <w:t>représentant les bénéficiaires directs du projet.</w:t>
      </w:r>
    </w:p>
    <w:p w:rsidR="00596C0D" w:rsidRPr="00307FF0" w:rsidRDefault="00596C0D" w:rsidP="00596C0D">
      <w:pPr>
        <w:spacing w:after="0" w:line="240" w:lineRule="auto"/>
        <w:ind w:right="284"/>
        <w:jc w:val="both"/>
        <w:rPr>
          <w:rFonts w:asciiTheme="majorHAnsi" w:eastAsia="Times New Roman" w:hAnsiTheme="majorHAnsi" w:cs="Calibri"/>
          <w:b/>
          <w:bCs/>
          <w:color w:val="000000"/>
          <w:lang w:eastAsia="fr-FR"/>
        </w:rPr>
      </w:pPr>
    </w:p>
    <w:p w:rsidR="00596C0D" w:rsidRPr="00307FF0" w:rsidRDefault="00596C0D" w:rsidP="00596C0D">
      <w:pPr>
        <w:spacing w:after="0" w:line="240" w:lineRule="auto"/>
        <w:ind w:right="284"/>
        <w:jc w:val="both"/>
        <w:rPr>
          <w:rFonts w:asciiTheme="majorHAnsi" w:eastAsia="Times New Roman" w:hAnsiTheme="majorHAnsi" w:cs="Calibri"/>
          <w:color w:val="000000"/>
          <w:u w:val="single"/>
          <w:lang w:eastAsia="fr-FR"/>
        </w:rPr>
      </w:pPr>
      <w:r w:rsidRPr="00307FF0">
        <w:rPr>
          <w:rFonts w:asciiTheme="majorHAnsi" w:eastAsia="Times New Roman" w:hAnsiTheme="majorHAnsi" w:cs="Calibri"/>
          <w:b/>
          <w:bCs/>
          <w:color w:val="000000"/>
          <w:u w:val="single"/>
          <w:lang w:eastAsia="fr-FR"/>
        </w:rPr>
        <w:t>Nature du projet</w:t>
      </w:r>
      <w:r w:rsidRPr="00214503">
        <w:rPr>
          <w:rFonts w:asciiTheme="majorHAnsi" w:eastAsia="Times New Roman" w:hAnsiTheme="majorHAnsi" w:cs="Calibri"/>
          <w:b/>
          <w:bCs/>
          <w:color w:val="000000"/>
          <w:lang w:eastAsia="fr-FR"/>
        </w:rPr>
        <w:t xml:space="preserve"> :</w:t>
      </w:r>
    </w:p>
    <w:p w:rsidR="00596C0D" w:rsidRPr="00307FF0" w:rsidRDefault="00596C0D" w:rsidP="00596C0D">
      <w:pPr>
        <w:spacing w:after="0" w:line="240" w:lineRule="auto"/>
        <w:ind w:right="284"/>
        <w:jc w:val="both"/>
        <w:rPr>
          <w:rFonts w:asciiTheme="majorHAnsi" w:eastAsia="Times New Roman" w:hAnsiTheme="majorHAnsi" w:cs="Calibri"/>
          <w:color w:val="000000"/>
          <w:lang w:eastAsia="fr-FR"/>
        </w:rPr>
      </w:pPr>
    </w:p>
    <w:p w:rsidR="00596C0D" w:rsidRDefault="00596C0D" w:rsidP="00596C0D">
      <w:pPr>
        <w:pStyle w:val="Paragraphedeliste"/>
        <w:numPr>
          <w:ilvl w:val="0"/>
          <w:numId w:val="5"/>
        </w:num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Le projet doit être cohérent avec les orientations stratégiques et géographiques de l’AFD en matière de soutien aux initiatives des OSC</w:t>
      </w:r>
      <w:r>
        <w:rPr>
          <w:rFonts w:asciiTheme="majorHAnsi" w:eastAsia="Times New Roman" w:hAnsiTheme="majorHAnsi" w:cs="Calibri"/>
          <w:color w:val="000000"/>
          <w:lang w:eastAsia="fr-FR"/>
        </w:rPr>
        <w:t xml:space="preserve">, tels que spécifiés dans le </w:t>
      </w:r>
      <w:r w:rsidRPr="00DD4607">
        <w:rPr>
          <w:rFonts w:asciiTheme="majorHAnsi" w:eastAsia="Times New Roman" w:hAnsiTheme="majorHAnsi" w:cs="Calibri"/>
          <w:i/>
          <w:color w:val="000000"/>
          <w:lang w:eastAsia="fr-FR"/>
        </w:rPr>
        <w:t>cadre d’intervention transversal</w:t>
      </w:r>
      <w:r>
        <w:rPr>
          <w:rFonts w:asciiTheme="majorHAnsi" w:eastAsia="Times New Roman" w:hAnsiTheme="majorHAnsi" w:cs="Calibri"/>
          <w:color w:val="000000"/>
          <w:lang w:eastAsia="fr-FR"/>
        </w:rPr>
        <w:t xml:space="preserve"> relatif aux OSC (CIT/OSC)</w:t>
      </w:r>
      <w:r w:rsidRPr="00307FF0">
        <w:rPr>
          <w:rFonts w:asciiTheme="majorHAnsi" w:eastAsia="Times New Roman" w:hAnsiTheme="majorHAnsi" w:cs="Calibri"/>
          <w:color w:val="000000"/>
          <w:lang w:eastAsia="fr-FR"/>
        </w:rPr>
        <w:t>. Pour plus d'informations, se référer au site internet AFD (</w:t>
      </w:r>
      <w:hyperlink r:id="rId6" w:history="1">
        <w:r w:rsidRPr="00307FF0">
          <w:rPr>
            <w:rStyle w:val="Lienhypertexte"/>
            <w:rFonts w:asciiTheme="majorHAnsi" w:eastAsia="Times New Roman" w:hAnsiTheme="majorHAnsi" w:cs="Calibri"/>
            <w:lang w:eastAsia="fr-FR"/>
          </w:rPr>
          <w:t>http://www.afd.fr/home/AFD/nospartenaires/ONG</w:t>
        </w:r>
      </w:hyperlink>
      <w:r w:rsidRPr="00307FF0">
        <w:rPr>
          <w:rFonts w:asciiTheme="majorHAnsi" w:eastAsia="Times New Roman" w:hAnsiTheme="majorHAnsi" w:cs="Calibri"/>
          <w:color w:val="000000"/>
          <w:lang w:eastAsia="fr-FR"/>
        </w:rPr>
        <w:t>)</w:t>
      </w:r>
    </w:p>
    <w:p w:rsidR="00596C0D" w:rsidRPr="00307FF0" w:rsidRDefault="00596C0D" w:rsidP="00596C0D">
      <w:pPr>
        <w:pStyle w:val="Paragraphedeliste"/>
        <w:spacing w:after="0" w:line="240" w:lineRule="auto"/>
        <w:ind w:right="284"/>
        <w:jc w:val="both"/>
        <w:rPr>
          <w:rFonts w:asciiTheme="majorHAnsi" w:eastAsia="Times New Roman" w:hAnsiTheme="majorHAnsi" w:cs="Calibri"/>
          <w:color w:val="000000"/>
          <w:lang w:eastAsia="fr-FR"/>
        </w:rPr>
      </w:pPr>
    </w:p>
    <w:p w:rsidR="00596C0D" w:rsidRDefault="00596C0D" w:rsidP="00596C0D">
      <w:pPr>
        <w:pStyle w:val="Paragraphedeliste"/>
        <w:numPr>
          <w:ilvl w:val="0"/>
          <w:numId w:val="5"/>
        </w:num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Le projet doit concourir à la réalisation d'objectifs préci</w:t>
      </w:r>
      <w:r>
        <w:rPr>
          <w:rFonts w:asciiTheme="majorHAnsi" w:eastAsia="Times New Roman" w:hAnsiTheme="majorHAnsi" w:cs="Calibri"/>
          <w:color w:val="000000"/>
          <w:lang w:eastAsia="fr-FR"/>
        </w:rPr>
        <w:t>s en matière de développement et</w:t>
      </w:r>
      <w:r w:rsidRPr="00307FF0">
        <w:rPr>
          <w:rFonts w:asciiTheme="majorHAnsi" w:eastAsia="Times New Roman" w:hAnsiTheme="majorHAnsi" w:cs="Calibri"/>
          <w:color w:val="000000"/>
          <w:lang w:eastAsia="fr-FR"/>
        </w:rPr>
        <w:t xml:space="preserve"> de solidarité internationale</w:t>
      </w:r>
      <w:r>
        <w:rPr>
          <w:rFonts w:asciiTheme="majorHAnsi" w:eastAsia="Times New Roman" w:hAnsiTheme="majorHAnsi" w:cs="Calibri"/>
          <w:color w:val="000000"/>
          <w:lang w:eastAsia="fr-FR"/>
        </w:rPr>
        <w:t xml:space="preserve"> et s’inscrire dans le cadre des Objectifs du Développement durable, adopté par les Nations-Unies en 2016 (ODD)</w:t>
      </w:r>
      <w:r w:rsidRPr="00307FF0">
        <w:rPr>
          <w:rFonts w:asciiTheme="majorHAnsi" w:eastAsia="Times New Roman" w:hAnsiTheme="majorHAnsi" w:cs="Calibri"/>
          <w:color w:val="000000"/>
          <w:lang w:eastAsia="fr-FR"/>
        </w:rPr>
        <w:t xml:space="preserve">. Le document de projet </w:t>
      </w:r>
      <w:r>
        <w:rPr>
          <w:rFonts w:asciiTheme="majorHAnsi" w:eastAsia="Times New Roman" w:hAnsiTheme="majorHAnsi" w:cs="Calibri"/>
          <w:color w:val="000000"/>
          <w:lang w:eastAsia="fr-FR"/>
        </w:rPr>
        <w:t>qui sera présenté si le projet est sélectionné (NIONG),</w:t>
      </w:r>
      <w:r w:rsidRPr="00307FF0">
        <w:rPr>
          <w:rFonts w:asciiTheme="majorHAnsi" w:eastAsia="Times New Roman" w:hAnsiTheme="majorHAnsi" w:cs="Calibri"/>
          <w:color w:val="000000"/>
          <w:lang w:eastAsia="fr-FR"/>
        </w:rPr>
        <w:t xml:space="preserve"> </w:t>
      </w:r>
      <w:r>
        <w:rPr>
          <w:rFonts w:asciiTheme="majorHAnsi" w:eastAsia="Times New Roman" w:hAnsiTheme="majorHAnsi" w:cs="Calibri"/>
          <w:color w:val="000000"/>
          <w:lang w:eastAsia="fr-FR"/>
        </w:rPr>
        <w:t xml:space="preserve">devra </w:t>
      </w:r>
      <w:r w:rsidRPr="00307FF0">
        <w:rPr>
          <w:rFonts w:asciiTheme="majorHAnsi" w:eastAsia="Times New Roman" w:hAnsiTheme="majorHAnsi" w:cs="Calibri"/>
          <w:color w:val="000000"/>
          <w:lang w:eastAsia="fr-FR"/>
        </w:rPr>
        <w:t>préciser la nature des actions prévues et déterminer la cohérence avec les ressources humaines et les moyens matériels et financiers nécessaires à leur réalisation.</w:t>
      </w:r>
    </w:p>
    <w:p w:rsidR="00596C0D" w:rsidRPr="00307FF0" w:rsidRDefault="00596C0D" w:rsidP="00596C0D">
      <w:pPr>
        <w:spacing w:after="0" w:line="240" w:lineRule="auto"/>
        <w:ind w:right="284"/>
        <w:jc w:val="both"/>
        <w:rPr>
          <w:rFonts w:asciiTheme="majorHAnsi" w:eastAsia="Times New Roman" w:hAnsiTheme="majorHAnsi" w:cs="Calibri"/>
          <w:color w:val="000000"/>
          <w:lang w:eastAsia="fr-FR"/>
        </w:rPr>
      </w:pPr>
    </w:p>
    <w:p w:rsidR="00596C0D" w:rsidRDefault="00596C0D" w:rsidP="00596C0D">
      <w:pPr>
        <w:pStyle w:val="Paragraphedeliste"/>
        <w:numPr>
          <w:ilvl w:val="0"/>
          <w:numId w:val="5"/>
        </w:num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Il ne doit pas y avoir dans le projet d’activités de prosélytisme religieux ou de propagande politique.</w:t>
      </w:r>
    </w:p>
    <w:p w:rsidR="00596C0D" w:rsidRPr="00307FF0" w:rsidRDefault="00596C0D" w:rsidP="00596C0D">
      <w:pPr>
        <w:spacing w:after="0" w:line="240" w:lineRule="auto"/>
        <w:ind w:right="284"/>
        <w:jc w:val="both"/>
        <w:rPr>
          <w:rFonts w:asciiTheme="majorHAnsi" w:eastAsia="Times New Roman" w:hAnsiTheme="majorHAnsi" w:cs="Calibri"/>
          <w:color w:val="000000"/>
          <w:lang w:eastAsia="fr-FR"/>
        </w:rPr>
      </w:pPr>
    </w:p>
    <w:p w:rsidR="00596C0D" w:rsidRPr="00307FF0"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Le projet doit avoir une durée maximale de 3 ans (renouvelable), sauf cas dûment justifiés.</w:t>
      </w:r>
      <w:r w:rsidRPr="00307FF0">
        <w:rPr>
          <w:rFonts w:asciiTheme="majorHAnsi" w:eastAsia="Times New Roman" w:hAnsiTheme="majorHAnsi" w:cs="Calibri"/>
          <w:b/>
          <w:bCs/>
          <w:lang w:eastAsia="fr-FR"/>
        </w:rPr>
        <w:t xml:space="preserve"> </w:t>
      </w:r>
    </w:p>
    <w:p w:rsidR="00596C0D" w:rsidRPr="00307FF0" w:rsidRDefault="00596C0D" w:rsidP="00596C0D">
      <w:pPr>
        <w:pStyle w:val="Paragraphedeliste"/>
        <w:spacing w:after="0" w:line="240" w:lineRule="auto"/>
        <w:ind w:right="284"/>
        <w:jc w:val="both"/>
        <w:rPr>
          <w:rFonts w:asciiTheme="majorHAnsi" w:eastAsia="Times New Roman" w:hAnsiTheme="majorHAnsi" w:cs="Calibri"/>
          <w:color w:val="000000"/>
          <w:lang w:eastAsia="fr-FR"/>
        </w:rPr>
      </w:pPr>
    </w:p>
    <w:p w:rsidR="00596C0D" w:rsidRPr="00307FF0" w:rsidRDefault="00596C0D" w:rsidP="00596C0D">
      <w:pPr>
        <w:spacing w:after="0" w:line="240" w:lineRule="auto"/>
        <w:ind w:right="284"/>
        <w:jc w:val="both"/>
        <w:rPr>
          <w:rFonts w:asciiTheme="majorHAnsi" w:eastAsia="Times New Roman" w:hAnsiTheme="majorHAnsi" w:cs="Calibri"/>
          <w:b/>
          <w:bCs/>
          <w:color w:val="000000"/>
          <w:u w:val="single"/>
          <w:lang w:eastAsia="fr-FR"/>
        </w:rPr>
      </w:pPr>
      <w:r w:rsidRPr="00307FF0">
        <w:rPr>
          <w:rFonts w:asciiTheme="majorHAnsi" w:eastAsia="Times New Roman" w:hAnsiTheme="majorHAnsi" w:cs="Calibri"/>
          <w:b/>
          <w:bCs/>
          <w:color w:val="000000"/>
          <w:u w:val="single"/>
          <w:lang w:eastAsia="fr-FR"/>
        </w:rPr>
        <w:t xml:space="preserve">Projets non </w:t>
      </w:r>
      <w:proofErr w:type="gramStart"/>
      <w:r w:rsidRPr="00307FF0">
        <w:rPr>
          <w:rFonts w:asciiTheme="majorHAnsi" w:eastAsia="Times New Roman" w:hAnsiTheme="majorHAnsi" w:cs="Calibri"/>
          <w:b/>
          <w:bCs/>
          <w:color w:val="000000"/>
          <w:u w:val="single"/>
          <w:lang w:eastAsia="fr-FR"/>
        </w:rPr>
        <w:t>éligibles</w:t>
      </w:r>
      <w:r w:rsidRPr="00214503">
        <w:rPr>
          <w:rFonts w:asciiTheme="majorHAnsi" w:eastAsia="Times New Roman" w:hAnsiTheme="majorHAnsi" w:cs="Calibri"/>
          <w:b/>
          <w:bCs/>
          <w:color w:val="000000"/>
          <w:lang w:eastAsia="fr-FR"/>
        </w:rPr>
        <w:t>:</w:t>
      </w:r>
      <w:proofErr w:type="gramEnd"/>
      <w:r w:rsidRPr="00214503">
        <w:rPr>
          <w:rFonts w:asciiTheme="majorHAnsi" w:eastAsia="Times New Roman" w:hAnsiTheme="majorHAnsi" w:cs="Calibri"/>
          <w:b/>
          <w:bCs/>
          <w:color w:val="000000"/>
          <w:lang w:eastAsia="fr-FR"/>
        </w:rPr>
        <w:t xml:space="preserve"> </w:t>
      </w:r>
    </w:p>
    <w:p w:rsidR="00596C0D" w:rsidRPr="00307FF0" w:rsidRDefault="00596C0D" w:rsidP="00596C0D">
      <w:pPr>
        <w:pStyle w:val="Paragraphedeliste"/>
        <w:spacing w:after="0" w:line="240" w:lineRule="auto"/>
        <w:ind w:right="284"/>
        <w:jc w:val="both"/>
        <w:rPr>
          <w:rFonts w:asciiTheme="majorHAnsi" w:eastAsia="Times New Roman" w:hAnsiTheme="majorHAnsi" w:cs="Calibri"/>
          <w:color w:val="000000"/>
          <w:lang w:eastAsia="fr-FR"/>
        </w:rPr>
      </w:pPr>
    </w:p>
    <w:p w:rsidR="00596C0D" w:rsidRPr="00307FF0" w:rsidRDefault="00596C0D" w:rsidP="00596C0D">
      <w:pPr>
        <w:spacing w:after="0" w:line="240" w:lineRule="auto"/>
        <w:ind w:right="284"/>
        <w:jc w:val="both"/>
        <w:rPr>
          <w:rFonts w:asciiTheme="majorHAnsi" w:eastAsia="Times New Roman" w:hAnsiTheme="majorHAnsi" w:cs="Calibri"/>
          <w:color w:val="000000"/>
          <w:lang w:eastAsia="fr-FR"/>
        </w:rPr>
      </w:pPr>
      <w:r w:rsidRPr="00307FF0">
        <w:rPr>
          <w:rFonts w:asciiTheme="majorHAnsi" w:eastAsia="Times New Roman" w:hAnsiTheme="majorHAnsi" w:cs="Calibri"/>
          <w:color w:val="000000"/>
          <w:lang w:eastAsia="fr-FR"/>
        </w:rPr>
        <w:t xml:space="preserve">Ne sont pas éligibles aux </w:t>
      </w:r>
      <w:proofErr w:type="spellStart"/>
      <w:r w:rsidRPr="00307FF0">
        <w:rPr>
          <w:rFonts w:asciiTheme="majorHAnsi" w:eastAsia="Times New Roman" w:hAnsiTheme="majorHAnsi" w:cs="Calibri"/>
          <w:color w:val="000000"/>
          <w:lang w:eastAsia="fr-FR"/>
        </w:rPr>
        <w:t>cofinancements</w:t>
      </w:r>
      <w:proofErr w:type="spellEnd"/>
      <w:r w:rsidRPr="00307FF0">
        <w:rPr>
          <w:rFonts w:asciiTheme="majorHAnsi" w:eastAsia="Times New Roman" w:hAnsiTheme="majorHAnsi" w:cs="Calibri"/>
          <w:color w:val="000000"/>
          <w:lang w:eastAsia="fr-FR"/>
        </w:rPr>
        <w:t xml:space="preserve"> </w:t>
      </w:r>
      <w:r>
        <w:rPr>
          <w:rFonts w:asciiTheme="majorHAnsi" w:eastAsia="Times New Roman" w:hAnsiTheme="majorHAnsi" w:cs="Calibri"/>
          <w:color w:val="000000"/>
          <w:lang w:eastAsia="fr-FR"/>
        </w:rPr>
        <w:t xml:space="preserve">initiatives OSC </w:t>
      </w:r>
      <w:r w:rsidRPr="00307FF0">
        <w:rPr>
          <w:rFonts w:asciiTheme="majorHAnsi" w:eastAsia="Times New Roman" w:hAnsiTheme="majorHAnsi" w:cs="Calibri"/>
          <w:color w:val="000000"/>
          <w:lang w:eastAsia="fr-FR"/>
        </w:rPr>
        <w:t xml:space="preserve">de l’AFD les projets visant majoritairement ou exclusivement les secteurs d’intervention et les opérations suivants : </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i/>
          <w:color w:val="000000"/>
          <w:lang w:eastAsia="fr-FR"/>
        </w:rPr>
      </w:pPr>
      <w:r w:rsidRPr="00F654B4">
        <w:rPr>
          <w:rFonts w:asciiTheme="majorHAnsi" w:eastAsia="Times New Roman" w:hAnsiTheme="majorHAnsi" w:cs="Calibri"/>
          <w:i/>
          <w:color w:val="000000"/>
          <w:lang w:eastAsia="fr-FR"/>
        </w:rPr>
        <w:t xml:space="preserve">Secteurs non éligibles au </w:t>
      </w:r>
      <w:proofErr w:type="spellStart"/>
      <w:r w:rsidRPr="00F654B4">
        <w:rPr>
          <w:rFonts w:asciiTheme="majorHAnsi" w:eastAsia="Times New Roman" w:hAnsiTheme="majorHAnsi" w:cs="Calibri"/>
          <w:i/>
          <w:color w:val="000000"/>
          <w:lang w:eastAsia="fr-FR"/>
        </w:rPr>
        <w:t>cofinancement</w:t>
      </w:r>
      <w:proofErr w:type="spellEnd"/>
      <w:r w:rsidRPr="00F654B4">
        <w:rPr>
          <w:rFonts w:asciiTheme="majorHAnsi" w:eastAsia="Times New Roman" w:hAnsiTheme="majorHAnsi" w:cs="Calibri"/>
          <w:i/>
          <w:color w:val="000000"/>
          <w:lang w:eastAsia="fr-FR"/>
        </w:rPr>
        <w:t xml:space="preserve"> de</w:t>
      </w:r>
      <w:r>
        <w:rPr>
          <w:rFonts w:asciiTheme="majorHAnsi" w:eastAsia="Times New Roman" w:hAnsiTheme="majorHAnsi" w:cs="Calibri"/>
          <w:i/>
          <w:color w:val="000000"/>
          <w:lang w:eastAsia="fr-FR"/>
        </w:rPr>
        <w:t xml:space="preserve"> projets OSC : échanges </w:t>
      </w:r>
      <w:r w:rsidRPr="00F654B4">
        <w:rPr>
          <w:rFonts w:asciiTheme="majorHAnsi" w:eastAsia="Times New Roman" w:hAnsiTheme="majorHAnsi" w:cs="Calibri"/>
          <w:i/>
          <w:color w:val="000000"/>
          <w:lang w:eastAsia="fr-FR"/>
        </w:rPr>
        <w:t xml:space="preserve">universitaires et scientifiques, échanges de jeunes, cinéma, culture, </w:t>
      </w:r>
      <w:proofErr w:type="spellStart"/>
      <w:r w:rsidRPr="00F654B4">
        <w:rPr>
          <w:rFonts w:asciiTheme="majorHAnsi" w:eastAsia="Times New Roman" w:hAnsiTheme="majorHAnsi" w:cs="Calibri"/>
          <w:i/>
          <w:color w:val="000000"/>
          <w:lang w:eastAsia="fr-FR"/>
        </w:rPr>
        <w:t>audiovisuel</w:t>
      </w:r>
      <w:proofErr w:type="spellEnd"/>
      <w:r w:rsidRPr="00F654B4">
        <w:rPr>
          <w:rFonts w:asciiTheme="majorHAnsi" w:eastAsia="Times New Roman" w:hAnsiTheme="majorHAnsi" w:cs="Calibri"/>
          <w:i/>
          <w:color w:val="000000"/>
          <w:lang w:eastAsia="fr-FR"/>
        </w:rPr>
        <w:t>, archéologie, francophonie, volontariat</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sidRPr="00F654B4">
        <w:rPr>
          <w:rFonts w:asciiTheme="majorHAnsi" w:eastAsia="Times New Roman" w:hAnsiTheme="majorHAnsi" w:cs="Calibri"/>
          <w:i/>
          <w:color w:val="000000"/>
          <w:lang w:eastAsia="fr-FR"/>
        </w:rPr>
        <w:t xml:space="preserve">Création d’une OSC au Nord </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sidRPr="00F654B4">
        <w:rPr>
          <w:rFonts w:asciiTheme="majorHAnsi" w:eastAsia="Times New Roman" w:hAnsiTheme="majorHAnsi" w:cs="Calibri"/>
          <w:i/>
          <w:color w:val="000000"/>
          <w:lang w:eastAsia="fr-FR"/>
        </w:rPr>
        <w:t xml:space="preserve">Prise en charge du fonctionnement d'une OSC au Nord </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Pr>
          <w:rFonts w:asciiTheme="majorHAnsi" w:eastAsia="Times New Roman" w:hAnsiTheme="majorHAnsi" w:cs="Calibri"/>
          <w:i/>
          <w:color w:val="000000"/>
          <w:lang w:eastAsia="fr-FR"/>
        </w:rPr>
        <w:t>Etude préalables, évaluation</w:t>
      </w:r>
      <w:r w:rsidRPr="00F654B4">
        <w:rPr>
          <w:rFonts w:asciiTheme="majorHAnsi" w:eastAsia="Times New Roman" w:hAnsiTheme="majorHAnsi" w:cs="Calibri"/>
          <w:i/>
          <w:color w:val="000000"/>
          <w:lang w:eastAsia="fr-FR"/>
        </w:rPr>
        <w:t xml:space="preserve"> </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Pr>
          <w:rFonts w:asciiTheme="majorHAnsi" w:eastAsia="Times New Roman" w:hAnsiTheme="majorHAnsi" w:cs="Calibri"/>
          <w:i/>
          <w:color w:val="000000"/>
          <w:lang w:eastAsia="fr-FR"/>
        </w:rPr>
        <w:t>Projets d’offre ou programmes de formation (quand le projet ne présente que ce type d’activité ou quand il est entièrement construit autour de ce type d’activités)</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Pr>
          <w:rFonts w:asciiTheme="majorHAnsi" w:eastAsia="Times New Roman" w:hAnsiTheme="majorHAnsi" w:cs="Calibri"/>
          <w:i/>
          <w:color w:val="000000"/>
          <w:lang w:eastAsia="fr-FR"/>
        </w:rPr>
        <w:t>Voyage individuel</w:t>
      </w:r>
      <w:r w:rsidRPr="00F654B4">
        <w:rPr>
          <w:rFonts w:asciiTheme="majorHAnsi" w:eastAsia="Times New Roman" w:hAnsiTheme="majorHAnsi" w:cs="Calibri"/>
          <w:i/>
          <w:color w:val="000000"/>
          <w:lang w:eastAsia="fr-FR"/>
        </w:rPr>
        <w:t xml:space="preserve"> ou de groupes des membres de l’OSC </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sidRPr="00F654B4">
        <w:rPr>
          <w:rFonts w:asciiTheme="majorHAnsi" w:eastAsia="Times New Roman" w:hAnsiTheme="majorHAnsi" w:cs="Calibri"/>
          <w:i/>
          <w:color w:val="000000"/>
          <w:lang w:eastAsia="fr-FR"/>
        </w:rPr>
        <w:t xml:space="preserve">Prise en charge de moyens logistiques (transports, containers, véhicules, etc.) </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sidRPr="00F654B4">
        <w:rPr>
          <w:rFonts w:asciiTheme="majorHAnsi" w:eastAsia="Times New Roman" w:hAnsiTheme="majorHAnsi" w:cs="Calibri"/>
          <w:i/>
          <w:color w:val="000000"/>
          <w:lang w:eastAsia="fr-FR"/>
        </w:rPr>
        <w:t xml:space="preserve">Envoi de matériels (médicaments, livres, etc.) ou de collectes privées </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Pr>
          <w:rFonts w:asciiTheme="majorHAnsi" w:eastAsia="Times New Roman" w:hAnsiTheme="majorHAnsi" w:cs="Calibri"/>
          <w:i/>
          <w:color w:val="000000"/>
          <w:lang w:eastAsia="fr-FR"/>
        </w:rPr>
        <w:t>Projet intégrant des a</w:t>
      </w:r>
      <w:r w:rsidRPr="00F654B4">
        <w:rPr>
          <w:rFonts w:asciiTheme="majorHAnsi" w:eastAsia="Times New Roman" w:hAnsiTheme="majorHAnsi" w:cs="Calibri"/>
          <w:i/>
          <w:color w:val="000000"/>
          <w:lang w:eastAsia="fr-FR"/>
        </w:rPr>
        <w:t>ctivités de construction ou de réhabilitation d'infrastructures représentant plus de 40% du budget prévisionnel</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sidRPr="00F654B4">
        <w:rPr>
          <w:rFonts w:asciiTheme="majorHAnsi" w:eastAsia="Times New Roman" w:hAnsiTheme="majorHAnsi" w:cs="Calibri"/>
          <w:i/>
          <w:color w:val="000000"/>
          <w:lang w:eastAsia="fr-FR"/>
        </w:rPr>
        <w:t xml:space="preserve">Organisation de </w:t>
      </w:r>
      <w:r>
        <w:rPr>
          <w:rFonts w:asciiTheme="majorHAnsi" w:eastAsia="Times New Roman" w:hAnsiTheme="majorHAnsi" w:cs="Calibri"/>
          <w:i/>
          <w:color w:val="000000"/>
          <w:lang w:eastAsia="fr-FR"/>
        </w:rPr>
        <w:t xml:space="preserve">conférences, </w:t>
      </w:r>
      <w:r w:rsidRPr="00F654B4">
        <w:rPr>
          <w:rFonts w:asciiTheme="majorHAnsi" w:eastAsia="Times New Roman" w:hAnsiTheme="majorHAnsi" w:cs="Calibri"/>
          <w:i/>
          <w:color w:val="000000"/>
          <w:lang w:eastAsia="fr-FR"/>
        </w:rPr>
        <w:t xml:space="preserve">colloques et séminaires, </w:t>
      </w:r>
      <w:r>
        <w:rPr>
          <w:rFonts w:asciiTheme="majorHAnsi" w:eastAsia="Times New Roman" w:hAnsiTheme="majorHAnsi" w:cs="Calibri"/>
          <w:i/>
          <w:color w:val="000000"/>
          <w:lang w:eastAsia="fr-FR"/>
        </w:rPr>
        <w:t>quand le projet ne présente que ce type d’activités ou quand il est entièrement construit autour de ce type d’activités</w:t>
      </w:r>
      <w:r w:rsidRPr="00F654B4">
        <w:rPr>
          <w:rFonts w:asciiTheme="majorHAnsi" w:eastAsia="Times New Roman" w:hAnsiTheme="majorHAnsi" w:cs="Calibri"/>
          <w:i/>
          <w:color w:val="000000"/>
          <w:lang w:eastAsia="fr-FR"/>
        </w:rPr>
        <w:t xml:space="preserve"> </w:t>
      </w:r>
      <w:r>
        <w:rPr>
          <w:rFonts w:asciiTheme="majorHAnsi" w:eastAsia="Times New Roman" w:hAnsiTheme="majorHAnsi" w:cs="Calibri"/>
          <w:i/>
          <w:color w:val="000000"/>
          <w:lang w:eastAsia="fr-FR"/>
        </w:rPr>
        <w:t xml:space="preserve"> </w:t>
      </w:r>
    </w:p>
    <w:p w:rsidR="00596C0D" w:rsidRPr="002226BD"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i/>
          <w:color w:val="000000"/>
          <w:lang w:eastAsia="fr-FR"/>
        </w:rPr>
      </w:pPr>
      <w:r>
        <w:rPr>
          <w:rFonts w:asciiTheme="majorHAnsi" w:eastAsia="Times New Roman" w:hAnsiTheme="majorHAnsi" w:cs="Calibri"/>
          <w:i/>
          <w:color w:val="000000"/>
          <w:lang w:eastAsia="fr-FR"/>
        </w:rPr>
        <w:t>Opération ponctuelle</w:t>
      </w:r>
      <w:r w:rsidRPr="00F654B4">
        <w:rPr>
          <w:rFonts w:asciiTheme="majorHAnsi" w:eastAsia="Times New Roman" w:hAnsiTheme="majorHAnsi" w:cs="Calibri"/>
          <w:i/>
          <w:color w:val="000000"/>
          <w:lang w:eastAsia="fr-FR"/>
        </w:rPr>
        <w:t xml:space="preserve"> d'urgence </w:t>
      </w:r>
      <w:r>
        <w:rPr>
          <w:rFonts w:asciiTheme="majorHAnsi" w:eastAsia="Times New Roman" w:hAnsiTheme="majorHAnsi" w:cs="Calibri"/>
          <w:i/>
          <w:color w:val="000000"/>
          <w:lang w:eastAsia="fr-FR"/>
        </w:rPr>
        <w:t>et projet</w:t>
      </w:r>
      <w:r w:rsidRPr="00F654B4">
        <w:rPr>
          <w:rFonts w:asciiTheme="majorHAnsi" w:eastAsia="Times New Roman" w:hAnsiTheme="majorHAnsi" w:cs="Calibri"/>
          <w:i/>
          <w:color w:val="000000"/>
          <w:lang w:eastAsia="fr-FR"/>
        </w:rPr>
        <w:t xml:space="preserve"> de volontariat, qui relèvent du ministère des Affaires étrangères et du Développement international</w:t>
      </w:r>
    </w:p>
    <w:p w:rsidR="00596C0D" w:rsidRDefault="00596C0D" w:rsidP="00596C0D">
      <w:pPr>
        <w:spacing w:after="0" w:line="240" w:lineRule="auto"/>
        <w:ind w:right="284"/>
        <w:jc w:val="both"/>
        <w:rPr>
          <w:rFonts w:asciiTheme="majorHAnsi" w:eastAsia="Times New Roman" w:hAnsiTheme="majorHAnsi" w:cs="Calibri"/>
          <w:b/>
          <w:bCs/>
          <w:color w:val="000000"/>
          <w:u w:val="single"/>
          <w:lang w:eastAsia="fr-FR"/>
        </w:rPr>
      </w:pPr>
    </w:p>
    <w:p w:rsidR="00596C0D" w:rsidRPr="00307FF0" w:rsidRDefault="00596C0D" w:rsidP="00596C0D">
      <w:pPr>
        <w:spacing w:after="0" w:line="240" w:lineRule="auto"/>
        <w:ind w:right="284"/>
        <w:jc w:val="both"/>
        <w:rPr>
          <w:rFonts w:asciiTheme="majorHAnsi" w:eastAsia="Times New Roman" w:hAnsiTheme="majorHAnsi" w:cs="Calibri"/>
          <w:b/>
          <w:bCs/>
          <w:color w:val="000000"/>
          <w:lang w:eastAsia="fr-FR"/>
        </w:rPr>
      </w:pPr>
      <w:r>
        <w:rPr>
          <w:rFonts w:asciiTheme="majorHAnsi" w:eastAsia="Times New Roman" w:hAnsiTheme="majorHAnsi" w:cs="Calibri"/>
          <w:b/>
          <w:bCs/>
          <w:color w:val="000000"/>
          <w:u w:val="single"/>
          <w:lang w:eastAsia="fr-FR"/>
        </w:rPr>
        <w:t xml:space="preserve">Montant </w:t>
      </w:r>
      <w:r w:rsidRPr="00307FF0">
        <w:rPr>
          <w:rFonts w:asciiTheme="majorHAnsi" w:eastAsia="Times New Roman" w:hAnsiTheme="majorHAnsi" w:cs="Calibri"/>
          <w:b/>
          <w:bCs/>
          <w:color w:val="000000"/>
          <w:u w:val="single"/>
          <w:lang w:eastAsia="fr-FR"/>
        </w:rPr>
        <w:t xml:space="preserve">et </w:t>
      </w:r>
      <w:r>
        <w:rPr>
          <w:rFonts w:asciiTheme="majorHAnsi" w:eastAsia="Times New Roman" w:hAnsiTheme="majorHAnsi" w:cs="Calibri"/>
          <w:b/>
          <w:bCs/>
          <w:color w:val="000000"/>
          <w:u w:val="single"/>
          <w:lang w:eastAsia="fr-FR"/>
        </w:rPr>
        <w:t>plafonds</w:t>
      </w:r>
      <w:r w:rsidRPr="00307FF0">
        <w:rPr>
          <w:rFonts w:asciiTheme="majorHAnsi" w:eastAsia="Times New Roman" w:hAnsiTheme="majorHAnsi" w:cs="Calibri"/>
          <w:b/>
          <w:bCs/>
          <w:color w:val="000000"/>
          <w:u w:val="single"/>
          <w:lang w:eastAsia="fr-FR"/>
        </w:rPr>
        <w:t xml:space="preserve"> de </w:t>
      </w:r>
      <w:proofErr w:type="spellStart"/>
      <w:r w:rsidRPr="00307FF0">
        <w:rPr>
          <w:rFonts w:asciiTheme="majorHAnsi" w:eastAsia="Times New Roman" w:hAnsiTheme="majorHAnsi" w:cs="Calibri"/>
          <w:b/>
          <w:bCs/>
          <w:color w:val="000000"/>
          <w:u w:val="single"/>
          <w:lang w:eastAsia="fr-FR"/>
        </w:rPr>
        <w:t>cofinancement</w:t>
      </w:r>
      <w:proofErr w:type="spellEnd"/>
      <w:r w:rsidRPr="00307FF0">
        <w:rPr>
          <w:rFonts w:asciiTheme="majorHAnsi" w:eastAsia="Times New Roman" w:hAnsiTheme="majorHAnsi" w:cs="Calibri"/>
          <w:b/>
          <w:bCs/>
          <w:color w:val="000000"/>
          <w:u w:val="single"/>
          <w:lang w:eastAsia="fr-FR"/>
        </w:rPr>
        <w:t xml:space="preserve"> du projet</w:t>
      </w:r>
      <w:r w:rsidRPr="00214503">
        <w:rPr>
          <w:rFonts w:asciiTheme="majorHAnsi" w:eastAsia="Times New Roman" w:hAnsiTheme="majorHAnsi" w:cs="Calibri"/>
          <w:b/>
          <w:bCs/>
          <w:color w:val="000000"/>
          <w:lang w:eastAsia="fr-FR"/>
        </w:rPr>
        <w:t xml:space="preserve"> :</w:t>
      </w:r>
      <w:r w:rsidRPr="00307FF0">
        <w:rPr>
          <w:rFonts w:asciiTheme="majorHAnsi" w:eastAsia="Times New Roman" w:hAnsiTheme="majorHAnsi" w:cs="Calibri"/>
          <w:b/>
          <w:bCs/>
          <w:color w:val="000000"/>
          <w:lang w:eastAsia="fr-FR"/>
        </w:rPr>
        <w:t xml:space="preserve"> </w:t>
      </w:r>
    </w:p>
    <w:p w:rsidR="00596C0D" w:rsidRPr="00307FF0" w:rsidRDefault="00596C0D" w:rsidP="00596C0D">
      <w:pPr>
        <w:spacing w:after="0" w:line="240" w:lineRule="auto"/>
        <w:ind w:right="284"/>
        <w:jc w:val="both"/>
        <w:rPr>
          <w:rFonts w:asciiTheme="majorHAnsi" w:eastAsia="Times New Roman" w:hAnsiTheme="majorHAnsi" w:cs="Calibri"/>
          <w:b/>
          <w:bCs/>
          <w:lang w:eastAsia="fr-FR"/>
        </w:rPr>
      </w:pPr>
    </w:p>
    <w:p w:rsidR="00596C0D" w:rsidRDefault="00596C0D" w:rsidP="00596C0D">
      <w:pPr>
        <w:pStyle w:val="Paragraphedeliste"/>
        <w:numPr>
          <w:ilvl w:val="0"/>
          <w:numId w:val="5"/>
        </w:numPr>
        <w:spacing w:after="0" w:line="240" w:lineRule="auto"/>
        <w:ind w:right="284"/>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Le montant total du projet doit être supérieur ou égal à 300 000 € ; les projets</w:t>
      </w:r>
      <w:r>
        <w:rPr>
          <w:rFonts w:asciiTheme="majorHAnsi" w:eastAsia="Times New Roman" w:hAnsiTheme="majorHAnsi" w:cs="Calibri"/>
          <w:bCs/>
          <w:lang w:eastAsia="fr-FR"/>
        </w:rPr>
        <w:t>,</w:t>
      </w:r>
      <w:r w:rsidRPr="00307FF0">
        <w:rPr>
          <w:rFonts w:asciiTheme="majorHAnsi" w:eastAsia="Times New Roman" w:hAnsiTheme="majorHAnsi" w:cs="Calibri"/>
          <w:bCs/>
          <w:lang w:eastAsia="fr-FR"/>
        </w:rPr>
        <w:t xml:space="preserve"> dont le</w:t>
      </w:r>
      <w:r>
        <w:rPr>
          <w:rFonts w:asciiTheme="majorHAnsi" w:eastAsia="Times New Roman" w:hAnsiTheme="majorHAnsi" w:cs="Calibri"/>
          <w:bCs/>
          <w:lang w:eastAsia="fr-FR"/>
        </w:rPr>
        <w:t xml:space="preserve"> montant global </w:t>
      </w:r>
      <w:r w:rsidRPr="00307FF0">
        <w:rPr>
          <w:rFonts w:asciiTheme="majorHAnsi" w:eastAsia="Times New Roman" w:hAnsiTheme="majorHAnsi" w:cs="Calibri"/>
          <w:bCs/>
          <w:lang w:eastAsia="fr-FR"/>
        </w:rPr>
        <w:t>se situe entre 200 000 € et 300 000 €</w:t>
      </w:r>
      <w:r>
        <w:rPr>
          <w:rFonts w:asciiTheme="majorHAnsi" w:eastAsia="Times New Roman" w:hAnsiTheme="majorHAnsi" w:cs="Calibri"/>
          <w:bCs/>
          <w:lang w:eastAsia="fr-FR"/>
        </w:rPr>
        <w:t>,</w:t>
      </w:r>
      <w:r w:rsidRPr="00307FF0">
        <w:rPr>
          <w:rFonts w:asciiTheme="majorHAnsi" w:eastAsia="Times New Roman" w:hAnsiTheme="majorHAnsi" w:cs="Calibri"/>
          <w:bCs/>
          <w:lang w:eastAsia="fr-FR"/>
        </w:rPr>
        <w:t xml:space="preserve"> pourront être déclarés éligibles</w:t>
      </w:r>
      <w:r>
        <w:rPr>
          <w:rFonts w:asciiTheme="majorHAnsi" w:eastAsia="Times New Roman" w:hAnsiTheme="majorHAnsi" w:cs="Calibri"/>
          <w:bCs/>
          <w:lang w:eastAsia="fr-FR"/>
        </w:rPr>
        <w:t xml:space="preserve"> par SPC/DPO</w:t>
      </w:r>
      <w:r w:rsidRPr="00307FF0">
        <w:rPr>
          <w:rFonts w:asciiTheme="majorHAnsi" w:eastAsia="Times New Roman" w:hAnsiTheme="majorHAnsi" w:cs="Calibri"/>
          <w:bCs/>
          <w:lang w:eastAsia="fr-FR"/>
        </w:rPr>
        <w:t xml:space="preserve"> uniquement dans le cas de contextes géographiques et/ou sectoriels spécifiques et justifiés.</w:t>
      </w:r>
    </w:p>
    <w:p w:rsidR="00596C0D" w:rsidRPr="00307FF0" w:rsidRDefault="00596C0D" w:rsidP="00596C0D">
      <w:pPr>
        <w:spacing w:after="0" w:line="240" w:lineRule="auto"/>
        <w:ind w:left="360" w:right="284"/>
        <w:jc w:val="both"/>
        <w:rPr>
          <w:rFonts w:asciiTheme="majorHAnsi" w:eastAsia="Times New Roman" w:hAnsiTheme="majorHAnsi" w:cs="Calibri"/>
          <w:bCs/>
          <w:lang w:eastAsia="fr-FR"/>
        </w:rPr>
      </w:pPr>
    </w:p>
    <w:p w:rsidR="00596C0D" w:rsidRPr="000F5DB9" w:rsidRDefault="00596C0D" w:rsidP="00596C0D">
      <w:pPr>
        <w:pStyle w:val="Paragraphedeliste"/>
        <w:numPr>
          <w:ilvl w:val="0"/>
          <w:numId w:val="4"/>
        </w:numPr>
        <w:spacing w:after="240" w:line="240" w:lineRule="auto"/>
        <w:ind w:right="284"/>
        <w:contextualSpacing w:val="0"/>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Le ratio du budget du projet/programme par rapport au budget annuel de l’OSC</w:t>
      </w:r>
      <w:r>
        <w:rPr>
          <w:rFonts w:asciiTheme="majorHAnsi" w:eastAsia="Times New Roman" w:hAnsiTheme="majorHAnsi" w:cs="Calibri"/>
          <w:bCs/>
          <w:lang w:eastAsia="fr-FR"/>
        </w:rPr>
        <w:t> :</w:t>
      </w:r>
      <w:r w:rsidRPr="00307FF0">
        <w:rPr>
          <w:rFonts w:asciiTheme="majorHAnsi" w:eastAsia="Times New Roman" w:hAnsiTheme="majorHAnsi" w:cs="Calibri"/>
          <w:bCs/>
          <w:lang w:eastAsia="fr-FR"/>
        </w:rPr>
        <w:t xml:space="preserve"> </w:t>
      </w:r>
      <w:r w:rsidRPr="00BB1824">
        <w:rPr>
          <w:rFonts w:asciiTheme="majorHAnsi" w:eastAsia="Times New Roman" w:hAnsiTheme="majorHAnsi" w:cs="Calibri"/>
          <w:bCs/>
          <w:lang w:eastAsia="fr-FR"/>
        </w:rPr>
        <w:t>la moyenne du coût annuel du projet n</w:t>
      </w:r>
      <w:r>
        <w:rPr>
          <w:rFonts w:asciiTheme="majorHAnsi" w:eastAsia="Times New Roman" w:hAnsiTheme="majorHAnsi" w:cs="Calibri"/>
          <w:bCs/>
          <w:lang w:eastAsia="fr-FR"/>
        </w:rPr>
        <w:t xml:space="preserve">e devra pas </w:t>
      </w:r>
      <w:r w:rsidRPr="00BB1824">
        <w:rPr>
          <w:rFonts w:asciiTheme="majorHAnsi" w:eastAsia="Times New Roman" w:hAnsiTheme="majorHAnsi" w:cs="Calibri"/>
          <w:bCs/>
          <w:lang w:eastAsia="fr-FR"/>
        </w:rPr>
        <w:t>excéde</w:t>
      </w:r>
      <w:r>
        <w:rPr>
          <w:rFonts w:asciiTheme="majorHAnsi" w:eastAsia="Times New Roman" w:hAnsiTheme="majorHAnsi" w:cs="Calibri"/>
          <w:bCs/>
          <w:lang w:eastAsia="fr-FR"/>
        </w:rPr>
        <w:t>r 70% du</w:t>
      </w:r>
      <w:r w:rsidRPr="00BB1824">
        <w:rPr>
          <w:rFonts w:asciiTheme="majorHAnsi" w:eastAsia="Times New Roman" w:hAnsiTheme="majorHAnsi" w:cs="Calibri"/>
          <w:bCs/>
          <w:lang w:eastAsia="fr-FR"/>
        </w:rPr>
        <w:t xml:space="preserve"> budget annuel de l’OSC</w:t>
      </w:r>
      <w:r>
        <w:rPr>
          <w:rFonts w:asciiTheme="majorHAnsi" w:eastAsia="Times New Roman" w:hAnsiTheme="majorHAnsi" w:cs="Calibri"/>
          <w:bCs/>
          <w:lang w:eastAsia="fr-FR"/>
        </w:rPr>
        <w:t xml:space="preserve">, sauf cas </w:t>
      </w:r>
      <w:proofErr w:type="spellStart"/>
      <w:r>
        <w:rPr>
          <w:rFonts w:asciiTheme="majorHAnsi" w:eastAsia="Times New Roman" w:hAnsiTheme="majorHAnsi" w:cs="Calibri"/>
          <w:bCs/>
          <w:lang w:eastAsia="fr-FR"/>
        </w:rPr>
        <w:t>dument</w:t>
      </w:r>
      <w:proofErr w:type="spellEnd"/>
      <w:r>
        <w:rPr>
          <w:rFonts w:asciiTheme="majorHAnsi" w:eastAsia="Times New Roman" w:hAnsiTheme="majorHAnsi" w:cs="Calibri"/>
          <w:bCs/>
          <w:lang w:eastAsia="fr-FR"/>
        </w:rPr>
        <w:t xml:space="preserve"> justifié</w:t>
      </w:r>
      <w:r w:rsidRPr="00BB1824">
        <w:rPr>
          <w:rFonts w:asciiTheme="majorHAnsi" w:eastAsia="Times New Roman" w:hAnsiTheme="majorHAnsi" w:cs="Calibri"/>
          <w:bCs/>
          <w:lang w:eastAsia="fr-FR"/>
        </w:rPr>
        <w:t>.</w:t>
      </w:r>
      <w:r>
        <w:rPr>
          <w:rFonts w:asciiTheme="majorHAnsi" w:eastAsia="Times New Roman" w:hAnsiTheme="majorHAnsi" w:cs="Calibri"/>
          <w:bCs/>
          <w:lang w:eastAsia="fr-FR"/>
        </w:rPr>
        <w:t xml:space="preserve"> </w:t>
      </w:r>
    </w:p>
    <w:p w:rsidR="00596C0D" w:rsidRPr="00307FF0" w:rsidRDefault="00596C0D" w:rsidP="00596C0D">
      <w:pPr>
        <w:pStyle w:val="Paragraphedeliste"/>
        <w:numPr>
          <w:ilvl w:val="0"/>
          <w:numId w:val="5"/>
        </w:numPr>
        <w:spacing w:after="0" w:line="240" w:lineRule="auto"/>
        <w:ind w:right="284"/>
        <w:jc w:val="both"/>
        <w:rPr>
          <w:rFonts w:asciiTheme="majorHAnsi" w:eastAsia="Times New Roman" w:hAnsiTheme="majorHAnsi" w:cs="Calibri"/>
          <w:b/>
          <w:bCs/>
          <w:color w:val="000000"/>
          <w:lang w:eastAsia="fr-FR"/>
        </w:rPr>
      </w:pPr>
      <w:r w:rsidRPr="00307FF0">
        <w:rPr>
          <w:rFonts w:asciiTheme="majorHAnsi" w:eastAsia="Times New Roman" w:hAnsiTheme="majorHAnsi" w:cs="Calibri"/>
          <w:bCs/>
          <w:lang w:eastAsia="fr-FR"/>
        </w:rPr>
        <w:t>Le</w:t>
      </w:r>
      <w:r>
        <w:rPr>
          <w:rFonts w:asciiTheme="majorHAnsi" w:eastAsia="Times New Roman" w:hAnsiTheme="majorHAnsi" w:cs="Calibri"/>
          <w:bCs/>
          <w:lang w:eastAsia="fr-FR"/>
        </w:rPr>
        <w:t>s</w:t>
      </w:r>
      <w:r w:rsidRPr="00307FF0">
        <w:rPr>
          <w:rFonts w:asciiTheme="majorHAnsi" w:eastAsia="Times New Roman" w:hAnsiTheme="majorHAnsi" w:cs="Calibri"/>
          <w:bCs/>
          <w:lang w:eastAsia="fr-FR"/>
        </w:rPr>
        <w:t xml:space="preserve"> </w:t>
      </w:r>
      <w:r>
        <w:rPr>
          <w:rFonts w:asciiTheme="majorHAnsi" w:eastAsia="Times New Roman" w:hAnsiTheme="majorHAnsi" w:cs="Calibri"/>
          <w:bCs/>
          <w:lang w:eastAsia="fr-FR"/>
        </w:rPr>
        <w:t>plafonds</w:t>
      </w:r>
      <w:r w:rsidRPr="00307FF0">
        <w:rPr>
          <w:rFonts w:asciiTheme="majorHAnsi" w:eastAsia="Times New Roman" w:hAnsiTheme="majorHAnsi" w:cs="Calibri"/>
          <w:bCs/>
          <w:lang w:eastAsia="fr-FR"/>
        </w:rPr>
        <w:t xml:space="preserve"> de </w:t>
      </w:r>
      <w:proofErr w:type="spellStart"/>
      <w:r w:rsidRPr="00307FF0">
        <w:rPr>
          <w:rFonts w:asciiTheme="majorHAnsi" w:eastAsia="Times New Roman" w:hAnsiTheme="majorHAnsi" w:cs="Calibri"/>
          <w:bCs/>
          <w:lang w:eastAsia="fr-FR"/>
        </w:rPr>
        <w:t>cofinancement</w:t>
      </w:r>
      <w:proofErr w:type="spellEnd"/>
      <w:r w:rsidRPr="00307FF0">
        <w:rPr>
          <w:rFonts w:asciiTheme="majorHAnsi" w:eastAsia="Times New Roman" w:hAnsiTheme="majorHAnsi" w:cs="Calibri"/>
          <w:bCs/>
          <w:lang w:eastAsia="fr-FR"/>
        </w:rPr>
        <w:t xml:space="preserve"> sur fonds publics français, incluant l’AFD, le FFEM, les ministères français (services centraux et déconcentrés, établissements sous tutelle de l'Etat) </w:t>
      </w:r>
      <w:r>
        <w:rPr>
          <w:rFonts w:asciiTheme="majorHAnsi" w:eastAsia="Times New Roman" w:hAnsiTheme="majorHAnsi" w:cs="Calibri"/>
          <w:bCs/>
          <w:lang w:eastAsia="fr-FR"/>
        </w:rPr>
        <w:t>sont</w:t>
      </w:r>
      <w:r w:rsidRPr="00307FF0">
        <w:rPr>
          <w:rFonts w:asciiTheme="majorHAnsi" w:eastAsia="Times New Roman" w:hAnsiTheme="majorHAnsi" w:cs="Calibri"/>
          <w:bCs/>
          <w:lang w:eastAsia="fr-FR"/>
        </w:rPr>
        <w:t xml:space="preserve"> de</w:t>
      </w:r>
      <w:r>
        <w:rPr>
          <w:rFonts w:asciiTheme="majorHAnsi" w:eastAsia="Times New Roman" w:hAnsiTheme="majorHAnsi" w:cs="Calibri"/>
          <w:lang w:eastAsia="fr-FR"/>
        </w:rPr>
        <w:t xml:space="preserve"> : </w:t>
      </w:r>
      <w:r w:rsidRPr="00307FF0">
        <w:rPr>
          <w:rFonts w:asciiTheme="majorHAnsi" w:eastAsia="Times New Roman" w:hAnsiTheme="majorHAnsi" w:cs="Calibri"/>
          <w:lang w:eastAsia="fr-FR"/>
        </w:rPr>
        <w:t xml:space="preserve">50 % maximum du budget global pour les projets de terrain mono-pays ou </w:t>
      </w:r>
      <w:proofErr w:type="spellStart"/>
      <w:r w:rsidRPr="00307FF0">
        <w:rPr>
          <w:rFonts w:asciiTheme="majorHAnsi" w:eastAsia="Times New Roman" w:hAnsiTheme="majorHAnsi" w:cs="Calibri"/>
          <w:lang w:eastAsia="fr-FR"/>
        </w:rPr>
        <w:t>multipays</w:t>
      </w:r>
      <w:proofErr w:type="spellEnd"/>
      <w:r>
        <w:rPr>
          <w:rFonts w:asciiTheme="majorHAnsi" w:eastAsia="Times New Roman" w:hAnsiTheme="majorHAnsi" w:cs="Calibri"/>
          <w:lang w:eastAsia="fr-FR"/>
        </w:rPr>
        <w:t>, 6</w:t>
      </w:r>
      <w:r w:rsidRPr="00307FF0">
        <w:rPr>
          <w:rFonts w:asciiTheme="majorHAnsi" w:eastAsia="Times New Roman" w:hAnsiTheme="majorHAnsi" w:cs="Calibri"/>
          <w:lang w:eastAsia="fr-FR"/>
        </w:rPr>
        <w:t xml:space="preserve">0 % maximum du budget global pour </w:t>
      </w:r>
      <w:r>
        <w:rPr>
          <w:rFonts w:asciiTheme="majorHAnsi" w:eastAsia="Times New Roman" w:hAnsiTheme="majorHAnsi" w:cs="Calibri"/>
          <w:lang w:eastAsia="fr-FR"/>
        </w:rPr>
        <w:t xml:space="preserve">les conventions-programmes </w:t>
      </w:r>
      <w:r w:rsidRPr="00307FF0">
        <w:rPr>
          <w:rFonts w:asciiTheme="majorHAnsi" w:eastAsia="Times New Roman" w:hAnsiTheme="majorHAnsi" w:cs="Calibri"/>
          <w:lang w:eastAsia="fr-FR"/>
        </w:rPr>
        <w:t xml:space="preserve">et de 75% maximum du budget global pour les programmes concertés </w:t>
      </w:r>
      <w:proofErr w:type="spellStart"/>
      <w:r w:rsidRPr="00307FF0">
        <w:rPr>
          <w:rFonts w:asciiTheme="majorHAnsi" w:eastAsia="Times New Roman" w:hAnsiTheme="majorHAnsi" w:cs="Calibri"/>
          <w:lang w:eastAsia="fr-FR"/>
        </w:rPr>
        <w:t>pluriacteurs</w:t>
      </w:r>
      <w:proofErr w:type="spellEnd"/>
      <w:r w:rsidRPr="00307FF0">
        <w:rPr>
          <w:rFonts w:asciiTheme="majorHAnsi" w:eastAsia="Times New Roman" w:hAnsiTheme="majorHAnsi" w:cs="Calibri"/>
          <w:lang w:eastAsia="fr-FR"/>
        </w:rPr>
        <w:t xml:space="preserve"> (PCPA).</w:t>
      </w:r>
    </w:p>
    <w:p w:rsidR="00596C0D" w:rsidRPr="00307FF0" w:rsidRDefault="00596C0D" w:rsidP="00596C0D">
      <w:pPr>
        <w:spacing w:after="0" w:line="240" w:lineRule="auto"/>
        <w:ind w:right="284"/>
        <w:jc w:val="both"/>
        <w:rPr>
          <w:rFonts w:asciiTheme="majorHAnsi" w:eastAsia="Times New Roman" w:hAnsiTheme="majorHAnsi" w:cs="Calibri"/>
          <w:b/>
          <w:bCs/>
          <w:color w:val="FF0000"/>
          <w:lang w:eastAsia="fr-FR"/>
        </w:rPr>
      </w:pPr>
    </w:p>
    <w:p w:rsidR="00596C0D" w:rsidRPr="00307FF0" w:rsidRDefault="00596C0D" w:rsidP="00596C0D">
      <w:pPr>
        <w:tabs>
          <w:tab w:val="left" w:pos="9868"/>
        </w:tabs>
        <w:spacing w:after="0" w:line="240" w:lineRule="auto"/>
        <w:ind w:right="284"/>
        <w:jc w:val="both"/>
        <w:rPr>
          <w:rFonts w:asciiTheme="majorHAnsi" w:eastAsia="Times New Roman" w:hAnsiTheme="majorHAnsi" w:cs="Calibri"/>
          <w:color w:val="000000"/>
          <w:lang w:eastAsia="fr-FR"/>
        </w:rPr>
      </w:pPr>
    </w:p>
    <w:p w:rsidR="00596C0D" w:rsidRDefault="00596C0D" w:rsidP="00596C0D">
      <w:pPr>
        <w:spacing w:after="0" w:line="240" w:lineRule="auto"/>
        <w:ind w:right="284"/>
        <w:jc w:val="both"/>
        <w:rPr>
          <w:rFonts w:asciiTheme="majorHAnsi" w:eastAsia="Times New Roman" w:hAnsiTheme="majorHAnsi" w:cs="Calibri"/>
          <w:b/>
          <w:bCs/>
          <w:color w:val="000000"/>
          <w:u w:val="single"/>
          <w:lang w:eastAsia="fr-FR"/>
        </w:rPr>
      </w:pPr>
      <w:r w:rsidRPr="00307FF0">
        <w:rPr>
          <w:rFonts w:asciiTheme="majorHAnsi" w:eastAsia="Times New Roman" w:hAnsiTheme="majorHAnsi" w:cs="Calibri"/>
          <w:b/>
          <w:bCs/>
          <w:color w:val="000000"/>
          <w:u w:val="single"/>
          <w:lang w:eastAsia="fr-FR"/>
        </w:rPr>
        <w:t xml:space="preserve">Durée et renouvellement des </w:t>
      </w:r>
      <w:r>
        <w:rPr>
          <w:rFonts w:asciiTheme="majorHAnsi" w:eastAsia="Times New Roman" w:hAnsiTheme="majorHAnsi" w:cs="Calibri"/>
          <w:b/>
          <w:bCs/>
          <w:color w:val="000000"/>
          <w:u w:val="single"/>
          <w:lang w:eastAsia="fr-FR"/>
        </w:rPr>
        <w:t>projets/programmes</w:t>
      </w:r>
      <w:r w:rsidRPr="00214503">
        <w:rPr>
          <w:rFonts w:asciiTheme="majorHAnsi" w:eastAsia="Times New Roman" w:hAnsiTheme="majorHAnsi" w:cs="Calibri"/>
          <w:b/>
          <w:bCs/>
          <w:color w:val="000000"/>
          <w:lang w:eastAsia="fr-FR"/>
        </w:rPr>
        <w:t> :</w:t>
      </w:r>
    </w:p>
    <w:p w:rsidR="00596C0D" w:rsidRPr="00307FF0" w:rsidRDefault="00596C0D" w:rsidP="00596C0D">
      <w:pPr>
        <w:tabs>
          <w:tab w:val="left" w:pos="9868"/>
        </w:tabs>
        <w:spacing w:after="0" w:line="240" w:lineRule="auto"/>
        <w:ind w:right="284"/>
        <w:jc w:val="both"/>
        <w:rPr>
          <w:rFonts w:asciiTheme="majorHAnsi" w:eastAsia="Times New Roman" w:hAnsiTheme="majorHAnsi" w:cs="Calibri"/>
          <w:b/>
          <w:bCs/>
          <w:color w:val="000000"/>
          <w:u w:val="single"/>
          <w:lang w:eastAsia="fr-FR"/>
        </w:rPr>
      </w:pPr>
    </w:p>
    <w:p w:rsidR="00596C0D" w:rsidRDefault="00596C0D" w:rsidP="00596C0D">
      <w:pPr>
        <w:pStyle w:val="Paragraphedeliste"/>
        <w:numPr>
          <w:ilvl w:val="0"/>
          <w:numId w:val="5"/>
        </w:numPr>
        <w:spacing w:after="0" w:line="240" w:lineRule="auto"/>
        <w:ind w:right="284"/>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La durée maximale du projet est de 3 ans</w:t>
      </w:r>
      <w:r>
        <w:rPr>
          <w:rFonts w:asciiTheme="majorHAnsi" w:eastAsia="Times New Roman" w:hAnsiTheme="majorHAnsi" w:cs="Calibri"/>
          <w:bCs/>
          <w:lang w:eastAsia="fr-FR"/>
        </w:rPr>
        <w:t xml:space="preserve"> renouvelable</w:t>
      </w:r>
      <w:r w:rsidRPr="00307FF0">
        <w:rPr>
          <w:rFonts w:asciiTheme="majorHAnsi" w:eastAsia="Times New Roman" w:hAnsiTheme="majorHAnsi" w:cs="Calibri"/>
          <w:bCs/>
          <w:lang w:eastAsia="fr-FR"/>
        </w:rPr>
        <w:t xml:space="preserve">, sauf cas </w:t>
      </w:r>
      <w:proofErr w:type="spellStart"/>
      <w:r w:rsidRPr="00307FF0">
        <w:rPr>
          <w:rFonts w:asciiTheme="majorHAnsi" w:eastAsia="Times New Roman" w:hAnsiTheme="majorHAnsi" w:cs="Calibri"/>
          <w:bCs/>
          <w:lang w:eastAsia="fr-FR"/>
        </w:rPr>
        <w:t>dument</w:t>
      </w:r>
      <w:proofErr w:type="spellEnd"/>
      <w:r w:rsidRPr="00307FF0">
        <w:rPr>
          <w:rFonts w:asciiTheme="majorHAnsi" w:eastAsia="Times New Roman" w:hAnsiTheme="majorHAnsi" w:cs="Calibri"/>
          <w:bCs/>
          <w:lang w:eastAsia="fr-FR"/>
        </w:rPr>
        <w:t xml:space="preserve"> justifiés.</w:t>
      </w:r>
      <w:r w:rsidRPr="00307FF0">
        <w:rPr>
          <w:rFonts w:asciiTheme="majorHAnsi" w:eastAsia="Times New Roman" w:hAnsiTheme="majorHAnsi" w:cs="Calibri"/>
          <w:lang w:eastAsia="fr-FR"/>
        </w:rPr>
        <w:t xml:space="preserve"> Le pro</w:t>
      </w:r>
      <w:r>
        <w:rPr>
          <w:rFonts w:asciiTheme="majorHAnsi" w:eastAsia="Times New Roman" w:hAnsiTheme="majorHAnsi" w:cs="Calibri"/>
          <w:lang w:eastAsia="fr-FR"/>
        </w:rPr>
        <w:t>jet</w:t>
      </w:r>
      <w:r w:rsidRPr="00307FF0">
        <w:rPr>
          <w:rFonts w:asciiTheme="majorHAnsi" w:eastAsia="Times New Roman" w:hAnsiTheme="majorHAnsi" w:cs="Calibri"/>
          <w:lang w:eastAsia="fr-FR"/>
        </w:rPr>
        <w:t xml:space="preserve"> est renouvelable deux fois maximum</w:t>
      </w:r>
      <w:r>
        <w:rPr>
          <w:rFonts w:asciiTheme="majorHAnsi" w:eastAsia="Times New Roman" w:hAnsiTheme="majorHAnsi" w:cs="Calibri"/>
          <w:lang w:eastAsia="fr-FR"/>
        </w:rPr>
        <w:t xml:space="preserve"> (soit 3 phases au total)</w:t>
      </w:r>
      <w:r w:rsidRPr="00307FF0">
        <w:rPr>
          <w:rFonts w:asciiTheme="majorHAnsi" w:eastAsia="Times New Roman" w:hAnsiTheme="majorHAnsi" w:cs="Calibri"/>
          <w:lang w:eastAsia="fr-FR"/>
        </w:rPr>
        <w:t>.</w:t>
      </w:r>
    </w:p>
    <w:p w:rsidR="00596C0D" w:rsidRDefault="00596C0D" w:rsidP="00596C0D">
      <w:pPr>
        <w:pStyle w:val="Paragraphedeliste"/>
        <w:spacing w:after="0" w:line="240" w:lineRule="auto"/>
        <w:ind w:right="284"/>
        <w:jc w:val="both"/>
        <w:rPr>
          <w:rFonts w:asciiTheme="majorHAnsi" w:eastAsia="Times New Roman" w:hAnsiTheme="majorHAnsi" w:cs="Calibri"/>
          <w:bCs/>
          <w:lang w:eastAsia="fr-FR"/>
        </w:rPr>
      </w:pPr>
    </w:p>
    <w:p w:rsidR="00596C0D" w:rsidRDefault="00596C0D" w:rsidP="00596C0D">
      <w:pPr>
        <w:pStyle w:val="Paragraphedeliste"/>
        <w:numPr>
          <w:ilvl w:val="0"/>
          <w:numId w:val="5"/>
        </w:numPr>
        <w:tabs>
          <w:tab w:val="left" w:pos="9868"/>
        </w:tabs>
        <w:spacing w:after="0" w:line="240" w:lineRule="auto"/>
        <w:ind w:right="284"/>
        <w:jc w:val="both"/>
        <w:rPr>
          <w:rFonts w:asciiTheme="majorHAnsi" w:eastAsia="Times New Roman" w:hAnsiTheme="majorHAnsi" w:cs="Calibri"/>
          <w:lang w:eastAsia="fr-FR"/>
        </w:rPr>
      </w:pPr>
      <w:r>
        <w:rPr>
          <w:rFonts w:asciiTheme="majorHAnsi" w:eastAsia="Times New Roman" w:hAnsiTheme="majorHAnsi" w:cs="Calibri"/>
          <w:lang w:eastAsia="fr-FR"/>
        </w:rPr>
        <w:t>Chaque phase</w:t>
      </w:r>
      <w:r w:rsidRPr="00307FF0">
        <w:rPr>
          <w:rFonts w:asciiTheme="majorHAnsi" w:eastAsia="Times New Roman" w:hAnsiTheme="majorHAnsi" w:cs="Calibri"/>
          <w:lang w:eastAsia="fr-FR"/>
        </w:rPr>
        <w:t xml:space="preserve"> doit présenter un périmètre géographique et thématique stable dans le temps. L'ajout de nouveaux pays doit être justifié en cohérence avec la stratégie globale du programme et sera soumis à l’accord préalable de SPC/DPO.</w:t>
      </w:r>
    </w:p>
    <w:p w:rsidR="00596C0D" w:rsidRPr="00307FF0" w:rsidRDefault="00596C0D" w:rsidP="00596C0D">
      <w:pPr>
        <w:tabs>
          <w:tab w:val="left" w:pos="9868"/>
        </w:tabs>
        <w:spacing w:after="0" w:line="240" w:lineRule="auto"/>
        <w:ind w:left="360" w:right="284"/>
        <w:jc w:val="both"/>
        <w:rPr>
          <w:rFonts w:asciiTheme="majorHAnsi" w:eastAsia="Times New Roman" w:hAnsiTheme="majorHAnsi" w:cs="Calibri"/>
          <w:lang w:eastAsia="fr-FR"/>
        </w:rPr>
      </w:pPr>
    </w:p>
    <w:p w:rsidR="00596C0D" w:rsidRDefault="00596C0D" w:rsidP="00596C0D">
      <w:pPr>
        <w:pStyle w:val="Paragraphedeliste"/>
        <w:numPr>
          <w:ilvl w:val="0"/>
          <w:numId w:val="5"/>
        </w:numPr>
        <w:tabs>
          <w:tab w:val="left" w:pos="9868"/>
        </w:tabs>
        <w:spacing w:after="0" w:line="240" w:lineRule="auto"/>
        <w:ind w:right="284"/>
        <w:jc w:val="both"/>
        <w:rPr>
          <w:rFonts w:asciiTheme="majorHAnsi" w:eastAsia="Times New Roman" w:hAnsiTheme="majorHAnsi" w:cs="Calibri"/>
          <w:lang w:eastAsia="fr-FR"/>
        </w:rPr>
      </w:pPr>
      <w:r>
        <w:rPr>
          <w:rFonts w:asciiTheme="majorHAnsi" w:eastAsia="Times New Roman" w:hAnsiTheme="majorHAnsi" w:cs="Calibri"/>
          <w:lang w:eastAsia="fr-FR"/>
        </w:rPr>
        <w:t>Les montants des deuxièmes et troisièmes phases des projets sont plafonnés comme suit :</w:t>
      </w:r>
    </w:p>
    <w:p w:rsidR="00596C0D" w:rsidRPr="000F5DB9" w:rsidRDefault="00596C0D" w:rsidP="00596C0D">
      <w:pPr>
        <w:pStyle w:val="Paragraphedeliste"/>
        <w:rPr>
          <w:rFonts w:asciiTheme="majorHAnsi" w:eastAsia="Times New Roman" w:hAnsiTheme="majorHAnsi" w:cs="Calibri"/>
          <w:lang w:eastAsia="fr-FR"/>
        </w:rPr>
      </w:pPr>
    </w:p>
    <w:p w:rsidR="00596C0D" w:rsidRDefault="00596C0D" w:rsidP="00596C0D">
      <w:pPr>
        <w:pStyle w:val="Paragraphedeliste"/>
        <w:numPr>
          <w:ilvl w:val="1"/>
          <w:numId w:val="5"/>
        </w:numPr>
        <w:tabs>
          <w:tab w:val="left" w:pos="9868"/>
        </w:tabs>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 xml:space="preserve">Dans le cas d’une phase 2 : l'augmentation du montant du </w:t>
      </w:r>
      <w:proofErr w:type="spellStart"/>
      <w:r w:rsidRPr="00307FF0">
        <w:rPr>
          <w:rFonts w:asciiTheme="majorHAnsi" w:eastAsia="Times New Roman" w:hAnsiTheme="majorHAnsi" w:cs="Calibri"/>
          <w:lang w:eastAsia="fr-FR"/>
        </w:rPr>
        <w:t>cofinancement</w:t>
      </w:r>
      <w:proofErr w:type="spellEnd"/>
      <w:r w:rsidRPr="00307FF0">
        <w:rPr>
          <w:rFonts w:asciiTheme="majorHAnsi" w:eastAsia="Times New Roman" w:hAnsiTheme="majorHAnsi" w:cs="Calibri"/>
          <w:lang w:eastAsia="fr-FR"/>
        </w:rPr>
        <w:t xml:space="preserve"> demandé à l’AFD doit être justifiée et ne peut être de plus de 20% par rapport au </w:t>
      </w:r>
      <w:proofErr w:type="spellStart"/>
      <w:r w:rsidRPr="00307FF0">
        <w:rPr>
          <w:rFonts w:asciiTheme="majorHAnsi" w:eastAsia="Times New Roman" w:hAnsiTheme="majorHAnsi" w:cs="Calibri"/>
          <w:lang w:eastAsia="fr-FR"/>
        </w:rPr>
        <w:t>cofinancement</w:t>
      </w:r>
      <w:proofErr w:type="spellEnd"/>
      <w:r w:rsidRPr="00307FF0">
        <w:rPr>
          <w:rFonts w:asciiTheme="majorHAnsi" w:eastAsia="Times New Roman" w:hAnsiTheme="majorHAnsi" w:cs="Calibri"/>
          <w:lang w:eastAsia="fr-FR"/>
        </w:rPr>
        <w:t xml:space="preserve"> de la phase 1, sauf contexte particulier dûment justifié.</w:t>
      </w:r>
    </w:p>
    <w:p w:rsidR="00596C0D" w:rsidRPr="00307FF0" w:rsidRDefault="00596C0D" w:rsidP="00596C0D">
      <w:pPr>
        <w:tabs>
          <w:tab w:val="left" w:pos="9868"/>
        </w:tabs>
        <w:spacing w:after="0" w:line="240" w:lineRule="auto"/>
        <w:ind w:right="284"/>
        <w:jc w:val="both"/>
        <w:rPr>
          <w:rFonts w:asciiTheme="majorHAnsi" w:eastAsia="Times New Roman" w:hAnsiTheme="majorHAnsi" w:cs="Calibri"/>
          <w:lang w:eastAsia="fr-FR"/>
        </w:rPr>
      </w:pPr>
    </w:p>
    <w:p w:rsidR="00F47A98" w:rsidRPr="00F47A98" w:rsidRDefault="00596C0D" w:rsidP="00F47A98">
      <w:pPr>
        <w:pStyle w:val="Paragraphedeliste"/>
        <w:numPr>
          <w:ilvl w:val="1"/>
          <w:numId w:val="5"/>
        </w:numPr>
        <w:tabs>
          <w:tab w:val="left" w:pos="9868"/>
        </w:tabs>
        <w:spacing w:after="0" w:line="240" w:lineRule="auto"/>
        <w:ind w:right="284"/>
        <w:jc w:val="both"/>
        <w:rPr>
          <w:rFonts w:asciiTheme="majorHAnsi" w:hAnsiTheme="majorHAnsi"/>
          <w:b/>
          <w:sz w:val="24"/>
          <w:szCs w:val="24"/>
        </w:rPr>
      </w:pPr>
      <w:r w:rsidRPr="00F47A98">
        <w:rPr>
          <w:rFonts w:asciiTheme="majorHAnsi" w:eastAsia="Times New Roman" w:hAnsiTheme="majorHAnsi" w:cs="Calibri"/>
          <w:lang w:eastAsia="fr-FR"/>
        </w:rPr>
        <w:t xml:space="preserve">Dans le cas d’une phase 3 : le montant du </w:t>
      </w:r>
      <w:proofErr w:type="spellStart"/>
      <w:r w:rsidRPr="00F47A98">
        <w:rPr>
          <w:rFonts w:asciiTheme="majorHAnsi" w:eastAsia="Times New Roman" w:hAnsiTheme="majorHAnsi" w:cs="Calibri"/>
          <w:lang w:eastAsia="fr-FR"/>
        </w:rPr>
        <w:t>cofinancement</w:t>
      </w:r>
      <w:proofErr w:type="spellEnd"/>
      <w:r w:rsidRPr="00F47A98">
        <w:rPr>
          <w:rFonts w:asciiTheme="majorHAnsi" w:eastAsia="Times New Roman" w:hAnsiTheme="majorHAnsi" w:cs="Calibri"/>
          <w:lang w:eastAsia="fr-FR"/>
        </w:rPr>
        <w:t xml:space="preserve"> demandé à l’AFD ne peut augmenter par rapport à la phase 2, sauf contexte particulier </w:t>
      </w:r>
      <w:proofErr w:type="spellStart"/>
      <w:r w:rsidRPr="00F47A98">
        <w:rPr>
          <w:rFonts w:asciiTheme="majorHAnsi" w:eastAsia="Times New Roman" w:hAnsiTheme="majorHAnsi" w:cs="Calibri"/>
          <w:lang w:eastAsia="fr-FR"/>
        </w:rPr>
        <w:t>dument</w:t>
      </w:r>
      <w:proofErr w:type="spellEnd"/>
      <w:r w:rsidRPr="00F47A98">
        <w:rPr>
          <w:rFonts w:asciiTheme="majorHAnsi" w:eastAsia="Times New Roman" w:hAnsiTheme="majorHAnsi" w:cs="Calibri"/>
          <w:lang w:eastAsia="fr-FR"/>
        </w:rPr>
        <w:t xml:space="preserve"> justifié </w:t>
      </w:r>
      <w:proofErr w:type="gramStart"/>
      <w:r w:rsidRPr="00F47A98">
        <w:rPr>
          <w:rFonts w:asciiTheme="majorHAnsi" w:eastAsia="Times New Roman" w:hAnsiTheme="majorHAnsi" w:cs="Calibri"/>
          <w:lang w:eastAsia="fr-FR"/>
        </w:rPr>
        <w:t>;  l'OSC</w:t>
      </w:r>
      <w:proofErr w:type="gramEnd"/>
      <w:r w:rsidRPr="00F47A98">
        <w:rPr>
          <w:rFonts w:asciiTheme="majorHAnsi" w:eastAsia="Times New Roman" w:hAnsiTheme="majorHAnsi" w:cs="Calibri"/>
          <w:lang w:eastAsia="fr-FR"/>
        </w:rPr>
        <w:t xml:space="preserve"> doit également expliquer sa stratégie de sortie</w:t>
      </w:r>
      <w:r w:rsidRPr="00F47A98">
        <w:rPr>
          <w:rFonts w:asciiTheme="majorHAnsi" w:eastAsia="Times New Roman" w:hAnsiTheme="majorHAnsi" w:cs="Calibri"/>
          <w:bCs/>
          <w:lang w:eastAsia="fr-FR"/>
        </w:rPr>
        <w:t>.</w:t>
      </w:r>
    </w:p>
    <w:p w:rsidR="00F47A98" w:rsidRPr="00F47A98" w:rsidRDefault="00F47A98" w:rsidP="00F47A98">
      <w:pPr>
        <w:pStyle w:val="Paragraphedeliste"/>
        <w:rPr>
          <w:rFonts w:asciiTheme="majorHAnsi" w:hAnsiTheme="majorHAnsi"/>
          <w:b/>
          <w:sz w:val="24"/>
          <w:szCs w:val="24"/>
        </w:rPr>
      </w:pPr>
    </w:p>
    <w:p w:rsidR="00596C0D" w:rsidRPr="00F47A98" w:rsidRDefault="00596C0D" w:rsidP="00F47A98">
      <w:pPr>
        <w:pStyle w:val="Paragraphedeliste"/>
        <w:numPr>
          <w:ilvl w:val="1"/>
          <w:numId w:val="5"/>
        </w:numPr>
        <w:tabs>
          <w:tab w:val="left" w:pos="9868"/>
        </w:tabs>
        <w:spacing w:after="0" w:line="240" w:lineRule="auto"/>
        <w:ind w:right="284"/>
        <w:jc w:val="both"/>
        <w:rPr>
          <w:rFonts w:asciiTheme="majorHAnsi" w:hAnsiTheme="majorHAnsi"/>
          <w:b/>
          <w:sz w:val="24"/>
          <w:szCs w:val="24"/>
        </w:rPr>
      </w:pPr>
      <w:r w:rsidRPr="00F47A98">
        <w:rPr>
          <w:rFonts w:asciiTheme="majorHAnsi" w:hAnsiTheme="majorHAnsi"/>
          <w:b/>
          <w:sz w:val="24"/>
          <w:szCs w:val="24"/>
        </w:rPr>
        <w:br w:type="page"/>
      </w:r>
    </w:p>
    <w:p w:rsidR="00913F4C" w:rsidRDefault="00913F4C" w:rsidP="00270691">
      <w:pPr>
        <w:ind w:right="284"/>
        <w:rPr>
          <w:rFonts w:asciiTheme="majorHAnsi" w:hAnsiTheme="majorHAnsi"/>
          <w:b/>
          <w:sz w:val="24"/>
          <w:szCs w:val="24"/>
        </w:rPr>
      </w:pPr>
    </w:p>
    <w:tbl>
      <w:tblPr>
        <w:tblW w:w="9284" w:type="dxa"/>
        <w:tblLayout w:type="fixed"/>
        <w:tblCellMar>
          <w:left w:w="70" w:type="dxa"/>
          <w:right w:w="70" w:type="dxa"/>
        </w:tblCellMar>
        <w:tblLook w:val="04A0" w:firstRow="1" w:lastRow="0" w:firstColumn="1" w:lastColumn="0" w:noHBand="0" w:noVBand="1"/>
      </w:tblPr>
      <w:tblGrid>
        <w:gridCol w:w="9284"/>
      </w:tblGrid>
      <w:tr w:rsidR="00270691" w:rsidRPr="00307FF0" w:rsidTr="00596C0D">
        <w:trPr>
          <w:trHeight w:val="630"/>
        </w:trPr>
        <w:tc>
          <w:tcPr>
            <w:tcW w:w="9284" w:type="dxa"/>
            <w:tcBorders>
              <w:top w:val="single" w:sz="4" w:space="0" w:color="auto"/>
              <w:left w:val="single" w:sz="4" w:space="0" w:color="auto"/>
              <w:bottom w:val="single" w:sz="4" w:space="0" w:color="auto"/>
              <w:right w:val="single" w:sz="4" w:space="0" w:color="auto"/>
            </w:tcBorders>
            <w:shd w:val="clear" w:color="000000" w:fill="C00000"/>
            <w:hideMark/>
          </w:tcPr>
          <w:p w:rsidR="00270691" w:rsidRPr="00307FF0" w:rsidRDefault="00270691" w:rsidP="00573DCF">
            <w:pPr>
              <w:spacing w:after="0" w:line="240" w:lineRule="auto"/>
              <w:ind w:right="284"/>
              <w:jc w:val="center"/>
              <w:rPr>
                <w:rFonts w:asciiTheme="majorHAnsi" w:eastAsia="Times New Roman" w:hAnsiTheme="majorHAnsi" w:cs="Calibri"/>
                <w:b/>
                <w:bCs/>
                <w:color w:val="EEECE1"/>
                <w:sz w:val="28"/>
                <w:szCs w:val="28"/>
                <w:lang w:eastAsia="fr-FR"/>
              </w:rPr>
            </w:pPr>
            <w:r w:rsidRPr="00913F4C">
              <w:rPr>
                <w:rFonts w:asciiTheme="majorHAnsi" w:eastAsia="Times New Roman" w:hAnsiTheme="majorHAnsi" w:cs="Calibri"/>
                <w:b/>
                <w:bCs/>
                <w:color w:val="EEECE1"/>
                <w:sz w:val="28"/>
                <w:szCs w:val="28"/>
                <w:lang w:eastAsia="fr-FR"/>
              </w:rPr>
              <w:t xml:space="preserve">Critères de </w:t>
            </w:r>
            <w:proofErr w:type="spellStart"/>
            <w:r w:rsidRPr="00913F4C">
              <w:rPr>
                <w:rFonts w:asciiTheme="majorHAnsi" w:eastAsia="Times New Roman" w:hAnsiTheme="majorHAnsi" w:cs="Calibri"/>
                <w:b/>
                <w:bCs/>
                <w:color w:val="EEECE1"/>
                <w:sz w:val="28"/>
                <w:szCs w:val="28"/>
                <w:lang w:eastAsia="fr-FR"/>
              </w:rPr>
              <w:t>présélection</w:t>
            </w:r>
            <w:proofErr w:type="spellEnd"/>
            <w:r w:rsidRPr="00913F4C">
              <w:rPr>
                <w:rFonts w:asciiTheme="majorHAnsi" w:eastAsia="Times New Roman" w:hAnsiTheme="majorHAnsi" w:cs="Calibri"/>
                <w:b/>
                <w:bCs/>
                <w:color w:val="EEECE1"/>
                <w:sz w:val="28"/>
                <w:szCs w:val="28"/>
                <w:lang w:eastAsia="fr-FR"/>
              </w:rPr>
              <w:t xml:space="preserve"> du </w:t>
            </w:r>
            <w:r w:rsidRPr="000F5DB9">
              <w:rPr>
                <w:rFonts w:asciiTheme="majorHAnsi" w:eastAsia="Times New Roman" w:hAnsiTheme="majorHAnsi" w:cs="Calibri"/>
                <w:b/>
                <w:bCs/>
                <w:color w:val="EEECE1"/>
                <w:sz w:val="28"/>
                <w:szCs w:val="28"/>
                <w:u w:val="single"/>
                <w:lang w:eastAsia="fr-FR"/>
              </w:rPr>
              <w:t>projet d’intérêt général</w:t>
            </w:r>
            <w:r w:rsidRPr="00913F4C">
              <w:rPr>
                <w:rFonts w:asciiTheme="majorHAnsi" w:eastAsia="Times New Roman" w:hAnsiTheme="majorHAnsi" w:cs="Calibri"/>
                <w:b/>
                <w:bCs/>
                <w:color w:val="EEECE1"/>
                <w:sz w:val="28"/>
                <w:szCs w:val="28"/>
                <w:lang w:eastAsia="fr-FR"/>
              </w:rPr>
              <w:t xml:space="preserve"> </w:t>
            </w:r>
            <w:r w:rsidR="00913F4C" w:rsidRPr="00913F4C">
              <w:rPr>
                <w:rFonts w:asciiTheme="majorHAnsi" w:eastAsia="Times New Roman" w:hAnsiTheme="majorHAnsi" w:cs="Calibri"/>
                <w:b/>
                <w:bCs/>
                <w:color w:val="EEECE1"/>
                <w:sz w:val="28"/>
                <w:szCs w:val="28"/>
                <w:lang w:eastAsia="fr-FR"/>
              </w:rPr>
              <w:t>présenté</w:t>
            </w:r>
          </w:p>
        </w:tc>
      </w:tr>
    </w:tbl>
    <w:p w:rsidR="00226EB5" w:rsidRDefault="00226EB5"/>
    <w:p w:rsidR="00596C0D" w:rsidRPr="00307FF0" w:rsidRDefault="00596C0D" w:rsidP="00596C0D">
      <w:pPr>
        <w:spacing w:after="0" w:line="240" w:lineRule="auto"/>
        <w:ind w:right="284"/>
        <w:rPr>
          <w:rFonts w:asciiTheme="majorHAnsi" w:eastAsia="Times New Roman" w:hAnsiTheme="majorHAnsi" w:cs="Calibri"/>
          <w:sz w:val="24"/>
          <w:lang w:eastAsia="fr-FR"/>
        </w:rPr>
      </w:pPr>
    </w:p>
    <w:p w:rsidR="00596C0D" w:rsidRPr="003D5625" w:rsidRDefault="00596C0D" w:rsidP="00596C0D">
      <w:pPr>
        <w:spacing w:after="0" w:line="240" w:lineRule="auto"/>
        <w:ind w:right="284"/>
        <w:rPr>
          <w:rFonts w:asciiTheme="majorHAnsi" w:eastAsia="Times New Roman" w:hAnsiTheme="majorHAnsi" w:cs="Calibri"/>
          <w:bCs/>
          <w:color w:val="000000"/>
          <w:u w:val="single"/>
          <w:lang w:eastAsia="fr-FR"/>
        </w:rPr>
      </w:pPr>
      <w:r w:rsidRPr="00307FF0">
        <w:rPr>
          <w:rFonts w:asciiTheme="majorHAnsi" w:eastAsia="Times New Roman" w:hAnsiTheme="majorHAnsi" w:cs="Calibri"/>
          <w:b/>
          <w:bCs/>
          <w:color w:val="000000"/>
          <w:u w:val="single"/>
          <w:lang w:eastAsia="fr-FR"/>
        </w:rPr>
        <w:t>Nature du projet : EADSI</w:t>
      </w:r>
      <w:r>
        <w:rPr>
          <w:rFonts w:asciiTheme="majorHAnsi" w:eastAsia="Times New Roman" w:hAnsiTheme="majorHAnsi" w:cs="Calibri"/>
          <w:b/>
          <w:bCs/>
          <w:color w:val="000000"/>
          <w:u w:val="single"/>
          <w:lang w:eastAsia="fr-FR"/>
        </w:rPr>
        <w:t xml:space="preserve"> </w:t>
      </w:r>
      <w:r w:rsidRPr="003D5625">
        <w:rPr>
          <w:rFonts w:asciiTheme="majorHAnsi" w:eastAsia="Times New Roman" w:hAnsiTheme="majorHAnsi" w:cs="Calibri"/>
          <w:bCs/>
          <w:color w:val="000000"/>
          <w:u w:val="single"/>
          <w:lang w:eastAsia="fr-FR"/>
        </w:rPr>
        <w:t>(Education au développement et à la solidarité internationale)</w:t>
      </w:r>
    </w:p>
    <w:p w:rsidR="00596C0D" w:rsidRPr="00307FF0" w:rsidRDefault="00596C0D" w:rsidP="00596C0D">
      <w:pPr>
        <w:spacing w:after="0" w:line="240" w:lineRule="auto"/>
        <w:ind w:right="284"/>
        <w:rPr>
          <w:rFonts w:asciiTheme="majorHAnsi" w:eastAsia="Times New Roman" w:hAnsiTheme="majorHAnsi" w:cs="Calibri"/>
          <w:b/>
          <w:bCs/>
          <w:color w:val="000000"/>
          <w:sz w:val="24"/>
          <w:u w:val="single"/>
          <w:lang w:eastAsia="fr-FR"/>
        </w:rPr>
      </w:pPr>
    </w:p>
    <w:p w:rsidR="00596C0D" w:rsidRPr="000F5DB9" w:rsidRDefault="00596C0D" w:rsidP="00596C0D">
      <w:pPr>
        <w:pStyle w:val="Paragraphedeliste"/>
        <w:numPr>
          <w:ilvl w:val="0"/>
          <w:numId w:val="5"/>
        </w:numPr>
        <w:tabs>
          <w:tab w:val="left" w:pos="9659"/>
        </w:tabs>
        <w:spacing w:after="0" w:line="240" w:lineRule="auto"/>
        <w:ind w:right="284"/>
        <w:jc w:val="both"/>
        <w:rPr>
          <w:rFonts w:asciiTheme="majorHAnsi" w:eastAsia="Times New Roman" w:hAnsiTheme="majorHAnsi" w:cs="Calibri"/>
          <w:lang w:eastAsia="fr-FR"/>
        </w:rPr>
      </w:pPr>
      <w:r>
        <w:rPr>
          <w:rFonts w:asciiTheme="majorHAnsi" w:eastAsia="Times New Roman" w:hAnsiTheme="majorHAnsi" w:cs="Calibri"/>
          <w:lang w:eastAsia="fr-FR"/>
        </w:rPr>
        <w:t>Le projet</w:t>
      </w:r>
      <w:r w:rsidRPr="003D5625">
        <w:rPr>
          <w:rFonts w:asciiTheme="majorHAnsi" w:eastAsia="Times New Roman" w:hAnsiTheme="majorHAnsi" w:cs="Calibri"/>
          <w:lang w:eastAsia="fr-FR"/>
        </w:rPr>
        <w:t xml:space="preserve"> d’EADSI doit concourir à la réalisation d'objectifs précis en matière de sensibilisation et d’éducation au développement et à la solidarité internationale. Il doit être constitué : i) d’actions contribuant à informer, sensibiliser ou accompagner les porteurs de projets, parties-prenantes et/ou citoyens (une ou plusieurs catégories de citoyens) ; et/ou ii) d’actions de plaidoyer.</w:t>
      </w:r>
      <w:r w:rsidRPr="004D4165">
        <w:rPr>
          <w:rFonts w:asciiTheme="majorHAnsi" w:hAnsiTheme="majorHAnsi" w:cstheme="majorHAnsi"/>
          <w:color w:val="000000"/>
        </w:rPr>
        <w:t xml:space="preserve"> </w:t>
      </w:r>
    </w:p>
    <w:p w:rsidR="00596C0D" w:rsidRPr="000F5DB9" w:rsidRDefault="00596C0D" w:rsidP="00596C0D">
      <w:pPr>
        <w:pStyle w:val="Paragraphedeliste"/>
        <w:tabs>
          <w:tab w:val="left" w:pos="9659"/>
        </w:tabs>
        <w:spacing w:after="0" w:line="240" w:lineRule="auto"/>
        <w:ind w:right="284"/>
        <w:jc w:val="both"/>
        <w:rPr>
          <w:rFonts w:asciiTheme="majorHAnsi" w:eastAsia="Times New Roman" w:hAnsiTheme="majorHAnsi" w:cs="Calibri"/>
          <w:lang w:eastAsia="fr-FR"/>
        </w:rPr>
      </w:pPr>
    </w:p>
    <w:p w:rsidR="00596C0D" w:rsidRDefault="00596C0D" w:rsidP="00596C0D">
      <w:pPr>
        <w:pStyle w:val="Paragraphedeliste"/>
        <w:numPr>
          <w:ilvl w:val="0"/>
          <w:numId w:val="5"/>
        </w:numPr>
        <w:tabs>
          <w:tab w:val="left" w:pos="9659"/>
        </w:tabs>
        <w:spacing w:after="0" w:line="240" w:lineRule="auto"/>
        <w:ind w:right="284"/>
        <w:jc w:val="both"/>
        <w:rPr>
          <w:rFonts w:asciiTheme="majorHAnsi" w:eastAsia="Times New Roman" w:hAnsiTheme="majorHAnsi" w:cs="Calibri"/>
          <w:lang w:eastAsia="fr-FR"/>
        </w:rPr>
      </w:pPr>
      <w:r w:rsidRPr="004D4165">
        <w:rPr>
          <w:rFonts w:asciiTheme="majorHAnsi" w:hAnsiTheme="majorHAnsi" w:cstheme="majorHAnsi"/>
          <w:color w:val="000000"/>
        </w:rPr>
        <w:t xml:space="preserve">Ils peuvent prendre les formes suivantes : </w:t>
      </w:r>
      <w:r w:rsidRPr="000A24BE">
        <w:rPr>
          <w:rFonts w:asciiTheme="majorHAnsi" w:hAnsiTheme="majorHAnsi" w:cstheme="majorHAnsi"/>
        </w:rPr>
        <w:t>actions et programmes d’éducation et formation (dans le cadre formel et institutionnel, et dans le cadre associatif), production d’outils et de dispositifs pédagogiques (centres d’accueil, jeux, outils et supports numériques, dossiers documentaires, mallettes pédagogiques, …), événementiel (festivals, animations de rues, prix et concours…), campagnes de sensibilisation du grand public ou de certaines catégories de public, actions de plaidoyer, formation et accompagnement de porteurs de projet.</w:t>
      </w:r>
    </w:p>
    <w:p w:rsidR="00596C0D" w:rsidRPr="003D5625" w:rsidRDefault="00596C0D" w:rsidP="00596C0D">
      <w:pPr>
        <w:spacing w:after="0" w:line="240" w:lineRule="auto"/>
        <w:ind w:right="284"/>
        <w:jc w:val="both"/>
        <w:rPr>
          <w:rFonts w:asciiTheme="majorHAnsi" w:eastAsia="Times New Roman" w:hAnsiTheme="majorHAnsi" w:cs="Calibri"/>
          <w:lang w:eastAsia="fr-FR"/>
        </w:rPr>
      </w:pPr>
    </w:p>
    <w:p w:rsidR="00596C0D" w:rsidRPr="000F5DB9"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0F5DB9">
        <w:rPr>
          <w:rFonts w:asciiTheme="majorHAnsi" w:eastAsia="Times New Roman" w:hAnsiTheme="majorHAnsi" w:cs="Calibri"/>
          <w:lang w:eastAsia="fr-FR"/>
        </w:rPr>
        <w:t xml:space="preserve">Les activités développées et leurs impacts attendus doivent être prioritairement et majoritairement situés en France ; ils peuvent concourir également au «vivre ensemble» dans la société française. </w:t>
      </w:r>
    </w:p>
    <w:p w:rsidR="00596C0D" w:rsidRPr="003D5625" w:rsidRDefault="00596C0D" w:rsidP="00596C0D">
      <w:pPr>
        <w:pStyle w:val="Paragraphedeliste"/>
        <w:spacing w:after="0" w:line="240" w:lineRule="auto"/>
        <w:ind w:right="284"/>
        <w:jc w:val="both"/>
        <w:rPr>
          <w:rFonts w:asciiTheme="majorHAnsi" w:eastAsia="Times New Roman" w:hAnsiTheme="majorHAnsi" w:cs="Calibri"/>
          <w:lang w:eastAsia="fr-FR"/>
        </w:rPr>
      </w:pPr>
    </w:p>
    <w:p w:rsidR="00596C0D"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3D5625">
        <w:rPr>
          <w:rFonts w:asciiTheme="majorHAnsi" w:eastAsia="Times New Roman" w:hAnsiTheme="majorHAnsi" w:cs="Calibri"/>
          <w:lang w:eastAsia="fr-FR"/>
        </w:rPr>
        <w:t xml:space="preserve">Les projets présentés doivent avoir une ampleur nationale et un impact significatif (national ou européen) et regrouper, dans la mesure du possible, différentes familles d’acteurs. </w:t>
      </w:r>
    </w:p>
    <w:p w:rsidR="00596C0D" w:rsidRPr="003D5625" w:rsidRDefault="00596C0D" w:rsidP="00596C0D">
      <w:pPr>
        <w:spacing w:after="0" w:line="240" w:lineRule="auto"/>
        <w:ind w:right="284"/>
        <w:jc w:val="both"/>
        <w:rPr>
          <w:rFonts w:asciiTheme="majorHAnsi" w:eastAsia="Times New Roman" w:hAnsiTheme="majorHAnsi" w:cs="Calibri"/>
          <w:lang w:eastAsia="fr-FR"/>
        </w:rPr>
      </w:pPr>
    </w:p>
    <w:p w:rsidR="00596C0D"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3D5625">
        <w:rPr>
          <w:rFonts w:asciiTheme="majorHAnsi" w:eastAsia="Times New Roman" w:hAnsiTheme="majorHAnsi" w:cs="Calibri"/>
          <w:lang w:eastAsia="fr-FR"/>
        </w:rPr>
        <w:t>Le projet ne doit pas concurrencer des</w:t>
      </w:r>
      <w:r>
        <w:rPr>
          <w:rFonts w:asciiTheme="majorHAnsi" w:eastAsia="Times New Roman" w:hAnsiTheme="majorHAnsi" w:cs="Calibri"/>
          <w:lang w:eastAsia="fr-FR"/>
        </w:rPr>
        <w:t xml:space="preserve"> initiatives similaires mais </w:t>
      </w:r>
      <w:r w:rsidRPr="003D5625">
        <w:rPr>
          <w:rFonts w:asciiTheme="majorHAnsi" w:eastAsia="Times New Roman" w:hAnsiTheme="majorHAnsi" w:cs="Calibri"/>
          <w:lang w:eastAsia="fr-FR"/>
        </w:rPr>
        <w:t>apporte</w:t>
      </w:r>
      <w:r>
        <w:rPr>
          <w:rFonts w:asciiTheme="majorHAnsi" w:eastAsia="Times New Roman" w:hAnsiTheme="majorHAnsi" w:cs="Calibri"/>
          <w:lang w:eastAsia="fr-FR"/>
        </w:rPr>
        <w:t>r</w:t>
      </w:r>
      <w:r w:rsidRPr="003D5625">
        <w:rPr>
          <w:rFonts w:asciiTheme="majorHAnsi" w:eastAsia="Times New Roman" w:hAnsiTheme="majorHAnsi" w:cs="Calibri"/>
          <w:lang w:eastAsia="fr-FR"/>
        </w:rPr>
        <w:t xml:space="preserve"> une plus-value démontrée.</w:t>
      </w:r>
    </w:p>
    <w:p w:rsidR="00596C0D" w:rsidRPr="003D5625" w:rsidRDefault="00596C0D" w:rsidP="00596C0D">
      <w:pPr>
        <w:spacing w:after="0" w:line="240" w:lineRule="auto"/>
        <w:ind w:right="284"/>
        <w:jc w:val="both"/>
        <w:rPr>
          <w:rFonts w:asciiTheme="majorHAnsi" w:eastAsia="Times New Roman" w:hAnsiTheme="majorHAnsi" w:cs="Calibri"/>
          <w:lang w:eastAsia="fr-FR"/>
        </w:rPr>
      </w:pPr>
    </w:p>
    <w:p w:rsidR="00596C0D"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Il ne doit pas y avoir dans le projet d’activités de prosélytisme religieux ou de propagande politique.</w:t>
      </w:r>
    </w:p>
    <w:p w:rsidR="00596C0D" w:rsidRPr="003D5625" w:rsidRDefault="00596C0D" w:rsidP="00596C0D">
      <w:pPr>
        <w:spacing w:after="0" w:line="240" w:lineRule="auto"/>
        <w:ind w:right="284"/>
        <w:jc w:val="both"/>
        <w:rPr>
          <w:rFonts w:asciiTheme="majorHAnsi" w:eastAsia="Times New Roman" w:hAnsiTheme="majorHAnsi" w:cs="Calibri"/>
          <w:lang w:eastAsia="fr-FR"/>
        </w:rPr>
      </w:pPr>
    </w:p>
    <w:p w:rsidR="00596C0D" w:rsidRPr="00307FF0"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Le projet doit avoir une durée maximale de 3 ans (renouvelable), sauf cas particuliers dûment justifiés.</w:t>
      </w:r>
    </w:p>
    <w:p w:rsidR="00596C0D" w:rsidRPr="00307FF0" w:rsidRDefault="00596C0D" w:rsidP="00596C0D">
      <w:pPr>
        <w:spacing w:after="0" w:line="240" w:lineRule="auto"/>
        <w:ind w:right="284"/>
        <w:rPr>
          <w:rFonts w:asciiTheme="majorHAnsi" w:eastAsia="Times New Roman" w:hAnsiTheme="majorHAnsi" w:cs="Calibri"/>
          <w:color w:val="000000"/>
          <w:sz w:val="24"/>
          <w:lang w:eastAsia="fr-FR"/>
        </w:rPr>
      </w:pPr>
    </w:p>
    <w:p w:rsidR="00596C0D" w:rsidRPr="00307FF0" w:rsidRDefault="00596C0D" w:rsidP="00596C0D">
      <w:pPr>
        <w:spacing w:after="0" w:line="240" w:lineRule="auto"/>
        <w:ind w:right="284"/>
        <w:rPr>
          <w:rFonts w:asciiTheme="majorHAnsi" w:eastAsia="Times New Roman" w:hAnsiTheme="majorHAnsi" w:cs="Calibri"/>
          <w:color w:val="000000"/>
          <w:lang w:eastAsia="fr-FR"/>
        </w:rPr>
      </w:pPr>
      <w:r w:rsidRPr="00307FF0">
        <w:rPr>
          <w:rFonts w:asciiTheme="majorHAnsi" w:eastAsia="Times New Roman" w:hAnsiTheme="majorHAnsi" w:cs="Calibri"/>
          <w:b/>
          <w:bCs/>
          <w:color w:val="000000"/>
          <w:u w:val="single"/>
          <w:lang w:eastAsia="fr-FR"/>
        </w:rPr>
        <w:t>Nature du projet : SMA</w:t>
      </w:r>
      <w:r w:rsidRPr="00307FF0">
        <w:rPr>
          <w:rFonts w:asciiTheme="majorHAnsi" w:eastAsia="Times New Roman" w:hAnsiTheme="majorHAnsi" w:cs="Calibri"/>
          <w:color w:val="000000"/>
          <w:lang w:eastAsia="fr-FR"/>
        </w:rPr>
        <w:t xml:space="preserve"> </w:t>
      </w:r>
      <w:r>
        <w:rPr>
          <w:rFonts w:asciiTheme="majorHAnsi" w:eastAsia="Times New Roman" w:hAnsiTheme="majorHAnsi" w:cs="Calibri"/>
          <w:color w:val="000000"/>
          <w:lang w:eastAsia="fr-FR"/>
        </w:rPr>
        <w:t>(Structuration du milieu associatif en France)</w:t>
      </w:r>
    </w:p>
    <w:p w:rsidR="00596C0D" w:rsidRPr="00307FF0" w:rsidRDefault="00596C0D" w:rsidP="00596C0D">
      <w:pPr>
        <w:spacing w:after="0" w:line="240" w:lineRule="auto"/>
        <w:ind w:right="284"/>
        <w:rPr>
          <w:rFonts w:asciiTheme="majorHAnsi" w:eastAsia="Times New Roman" w:hAnsiTheme="majorHAnsi" w:cs="Calibri"/>
          <w:color w:val="000000"/>
          <w:sz w:val="24"/>
          <w:lang w:eastAsia="fr-FR"/>
        </w:rPr>
      </w:pPr>
    </w:p>
    <w:p w:rsidR="00596C0D" w:rsidRPr="00913F4C"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proofErr w:type="gramStart"/>
      <w:r w:rsidRPr="00913F4C">
        <w:rPr>
          <w:rFonts w:asciiTheme="majorHAnsi" w:eastAsia="Times New Roman" w:hAnsiTheme="majorHAnsi" w:cs="Calibri"/>
          <w:lang w:eastAsia="fr-FR"/>
        </w:rPr>
        <w:t xml:space="preserve">Le projet de structuration du milieu associatif doit concourir à la réalisation d'objectifs précis en matière de structuration du milieu associatif français, il doit avoir un impact national </w:t>
      </w:r>
      <w:r>
        <w:rPr>
          <w:rFonts w:asciiTheme="majorHAnsi" w:eastAsia="Times New Roman" w:hAnsiTheme="majorHAnsi" w:cs="Calibri"/>
          <w:lang w:eastAsia="fr-FR"/>
        </w:rPr>
        <w:t xml:space="preserve">en France </w:t>
      </w:r>
      <w:r w:rsidRPr="00913F4C">
        <w:rPr>
          <w:rFonts w:asciiTheme="majorHAnsi" w:eastAsia="Times New Roman" w:hAnsiTheme="majorHAnsi" w:cs="Calibri"/>
          <w:lang w:eastAsia="fr-FR"/>
        </w:rPr>
        <w:t xml:space="preserve">au minimum sur l’un ou plusieurs des trois piliers suivants : i) structuration, rapprochement, convergences d’actions des OSC et ancrage </w:t>
      </w:r>
      <w:r>
        <w:rPr>
          <w:rFonts w:asciiTheme="majorHAnsi" w:eastAsia="Times New Roman" w:hAnsiTheme="majorHAnsi" w:cs="Calibri"/>
          <w:lang w:eastAsia="fr-FR"/>
        </w:rPr>
        <w:t xml:space="preserve">dans le milieu associatif </w:t>
      </w:r>
      <w:r w:rsidRPr="00913F4C">
        <w:rPr>
          <w:rFonts w:asciiTheme="majorHAnsi" w:eastAsia="Times New Roman" w:hAnsiTheme="majorHAnsi" w:cs="Calibri"/>
          <w:lang w:eastAsia="fr-FR"/>
        </w:rPr>
        <w:t>; ii) professionnalisation et création/diffusion d'innovations dans le milieu et au-delà ; iii) contribution des OSC dans leur action collective pour un dialogue renforcé sur l'action publique</w:t>
      </w:r>
      <w:r>
        <w:rPr>
          <w:rFonts w:asciiTheme="majorHAnsi" w:eastAsia="Times New Roman" w:hAnsiTheme="majorHAnsi" w:cs="Calibri"/>
          <w:lang w:eastAsia="fr-FR"/>
        </w:rPr>
        <w:t xml:space="preserve"> et les enjeux nationaux/internationaux</w:t>
      </w:r>
      <w:r w:rsidRPr="00913F4C">
        <w:rPr>
          <w:rFonts w:asciiTheme="majorHAnsi" w:eastAsia="Times New Roman" w:hAnsiTheme="majorHAnsi" w:cs="Calibri"/>
          <w:lang w:eastAsia="fr-FR"/>
        </w:rPr>
        <w:t xml:space="preserve"> </w:t>
      </w:r>
      <w:r>
        <w:rPr>
          <w:rFonts w:asciiTheme="majorHAnsi" w:eastAsia="Times New Roman" w:hAnsiTheme="majorHAnsi" w:cs="Calibri"/>
          <w:lang w:eastAsia="fr-FR"/>
        </w:rPr>
        <w:t>relatifs au développement et à la solidarité internationale.</w:t>
      </w:r>
      <w:proofErr w:type="gramEnd"/>
    </w:p>
    <w:p w:rsidR="00596C0D" w:rsidRPr="00913F4C" w:rsidRDefault="00596C0D" w:rsidP="00596C0D">
      <w:pPr>
        <w:pStyle w:val="Paragraphedeliste"/>
        <w:spacing w:after="0" w:line="240" w:lineRule="auto"/>
        <w:ind w:right="284"/>
        <w:jc w:val="both"/>
        <w:rPr>
          <w:rFonts w:asciiTheme="majorHAnsi" w:eastAsia="Times New Roman" w:hAnsiTheme="majorHAnsi" w:cs="Calibri"/>
          <w:lang w:eastAsia="fr-FR"/>
        </w:rPr>
      </w:pPr>
    </w:p>
    <w:p w:rsidR="00596C0D" w:rsidRPr="00913F4C"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913F4C">
        <w:rPr>
          <w:rFonts w:asciiTheme="majorHAnsi" w:eastAsia="Times New Roman" w:hAnsiTheme="majorHAnsi" w:cs="Calibri"/>
          <w:lang w:eastAsia="fr-FR"/>
        </w:rPr>
        <w:t>La structure doit regrouper un nombre significatif de membres et être représentative dans le milieu associatif</w:t>
      </w:r>
      <w:r>
        <w:rPr>
          <w:rFonts w:asciiTheme="majorHAnsi" w:eastAsia="Times New Roman" w:hAnsiTheme="majorHAnsi" w:cs="Calibri"/>
          <w:lang w:eastAsia="fr-FR"/>
        </w:rPr>
        <w:t xml:space="preserve"> français. S</w:t>
      </w:r>
      <w:r w:rsidRPr="00913F4C">
        <w:rPr>
          <w:rFonts w:asciiTheme="majorHAnsi" w:eastAsia="Times New Roman" w:hAnsiTheme="majorHAnsi" w:cs="Calibri"/>
          <w:lang w:eastAsia="fr-FR"/>
        </w:rPr>
        <w:t>i le nombre de ses membres est limité, elle devra prouver que ses actions ont une portée et un impact structurants po</w:t>
      </w:r>
      <w:r>
        <w:rPr>
          <w:rFonts w:asciiTheme="majorHAnsi" w:eastAsia="Times New Roman" w:hAnsiTheme="majorHAnsi" w:cs="Calibri"/>
          <w:lang w:eastAsia="fr-FR"/>
        </w:rPr>
        <w:t>ur le milieu associatif</w:t>
      </w:r>
      <w:r w:rsidRPr="00913F4C">
        <w:rPr>
          <w:rFonts w:asciiTheme="majorHAnsi" w:eastAsia="Times New Roman" w:hAnsiTheme="majorHAnsi" w:cs="Calibri"/>
          <w:lang w:eastAsia="fr-FR"/>
        </w:rPr>
        <w:t xml:space="preserve">. </w:t>
      </w:r>
    </w:p>
    <w:p w:rsidR="00596C0D" w:rsidRPr="00913F4C" w:rsidRDefault="00596C0D" w:rsidP="00596C0D">
      <w:pPr>
        <w:pStyle w:val="Paragraphedeliste"/>
        <w:spacing w:after="0" w:line="240" w:lineRule="auto"/>
        <w:ind w:right="284"/>
        <w:jc w:val="both"/>
        <w:rPr>
          <w:rFonts w:asciiTheme="majorHAnsi" w:eastAsia="Times New Roman" w:hAnsiTheme="majorHAnsi" w:cs="Calibri"/>
          <w:lang w:eastAsia="fr-FR"/>
        </w:rPr>
      </w:pPr>
    </w:p>
    <w:p w:rsidR="00596C0D" w:rsidRPr="00913F4C"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913F4C">
        <w:rPr>
          <w:rFonts w:asciiTheme="majorHAnsi" w:eastAsia="Times New Roman" w:hAnsiTheme="majorHAnsi" w:cs="Calibri"/>
          <w:lang w:eastAsia="fr-FR"/>
        </w:rPr>
        <w:t>Le projet ne doit pas être limité à un champ thématique trop réduit ou touchant un public trop restreint.</w:t>
      </w:r>
    </w:p>
    <w:p w:rsidR="00596C0D" w:rsidRPr="00913F4C" w:rsidRDefault="00596C0D" w:rsidP="00596C0D">
      <w:pPr>
        <w:pStyle w:val="Paragraphedeliste"/>
        <w:spacing w:after="0" w:line="240" w:lineRule="auto"/>
        <w:ind w:right="284"/>
        <w:jc w:val="both"/>
        <w:rPr>
          <w:rFonts w:asciiTheme="majorHAnsi" w:eastAsia="Times New Roman" w:hAnsiTheme="majorHAnsi" w:cs="Calibri"/>
          <w:lang w:eastAsia="fr-FR"/>
        </w:rPr>
      </w:pPr>
    </w:p>
    <w:p w:rsidR="00596C0D" w:rsidRPr="00913F4C"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913F4C">
        <w:rPr>
          <w:rFonts w:asciiTheme="majorHAnsi" w:eastAsia="Times New Roman" w:hAnsiTheme="majorHAnsi" w:cs="Calibri"/>
          <w:lang w:eastAsia="fr-FR"/>
        </w:rPr>
        <w:t xml:space="preserve">La structure ne </w:t>
      </w:r>
      <w:r>
        <w:rPr>
          <w:rFonts w:asciiTheme="majorHAnsi" w:eastAsia="Times New Roman" w:hAnsiTheme="majorHAnsi" w:cs="Calibri"/>
          <w:lang w:eastAsia="fr-FR"/>
        </w:rPr>
        <w:t xml:space="preserve">doit pas </w:t>
      </w:r>
      <w:r w:rsidRPr="00913F4C">
        <w:rPr>
          <w:rFonts w:asciiTheme="majorHAnsi" w:eastAsia="Times New Roman" w:hAnsiTheme="majorHAnsi" w:cs="Calibri"/>
          <w:lang w:eastAsia="fr-FR"/>
        </w:rPr>
        <w:t>concurrence</w:t>
      </w:r>
      <w:r>
        <w:rPr>
          <w:rFonts w:asciiTheme="majorHAnsi" w:eastAsia="Times New Roman" w:hAnsiTheme="majorHAnsi" w:cs="Calibri"/>
          <w:lang w:eastAsia="fr-FR"/>
        </w:rPr>
        <w:t xml:space="preserve">r </w:t>
      </w:r>
      <w:r w:rsidRPr="00913F4C">
        <w:rPr>
          <w:rFonts w:asciiTheme="majorHAnsi" w:eastAsia="Times New Roman" w:hAnsiTheme="majorHAnsi" w:cs="Calibri"/>
          <w:lang w:eastAsia="fr-FR"/>
        </w:rPr>
        <w:t xml:space="preserve">des initiatives similaires mais elle apporte une plus-value démontrée. </w:t>
      </w:r>
    </w:p>
    <w:p w:rsidR="00596C0D" w:rsidRPr="00307FF0" w:rsidRDefault="00596C0D" w:rsidP="00596C0D">
      <w:pPr>
        <w:pStyle w:val="Paragraphedeliste"/>
        <w:spacing w:after="0" w:line="240" w:lineRule="auto"/>
        <w:ind w:left="0" w:right="284"/>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 xml:space="preserve"> </w:t>
      </w:r>
      <w:r w:rsidRPr="00307FF0">
        <w:rPr>
          <w:rFonts w:asciiTheme="majorHAnsi" w:eastAsia="Times New Roman" w:hAnsiTheme="majorHAnsi" w:cs="Calibri"/>
          <w:bCs/>
          <w:lang w:eastAsia="fr-FR"/>
        </w:rPr>
        <w:br/>
      </w:r>
      <w:r w:rsidRPr="00307FF0">
        <w:rPr>
          <w:rFonts w:asciiTheme="majorHAnsi" w:eastAsia="Times New Roman" w:hAnsiTheme="majorHAnsi" w:cs="Calibri"/>
          <w:i/>
          <w:iCs/>
          <w:lang w:eastAsia="fr-FR"/>
        </w:rPr>
        <w:t xml:space="preserve">Nb : Les questions de représentativité et de plus-value </w:t>
      </w:r>
      <w:r>
        <w:rPr>
          <w:rFonts w:asciiTheme="majorHAnsi" w:eastAsia="Times New Roman" w:hAnsiTheme="majorHAnsi" w:cs="Calibri"/>
          <w:i/>
          <w:iCs/>
          <w:lang w:eastAsia="fr-FR"/>
        </w:rPr>
        <w:t xml:space="preserve">seront examinées avec une </w:t>
      </w:r>
      <w:r w:rsidRPr="00307FF0">
        <w:rPr>
          <w:rFonts w:asciiTheme="majorHAnsi" w:eastAsia="Times New Roman" w:hAnsiTheme="majorHAnsi" w:cs="Calibri"/>
          <w:i/>
          <w:iCs/>
          <w:lang w:eastAsia="fr-FR"/>
        </w:rPr>
        <w:t xml:space="preserve">attention </w:t>
      </w:r>
      <w:r>
        <w:rPr>
          <w:rFonts w:asciiTheme="majorHAnsi" w:eastAsia="Times New Roman" w:hAnsiTheme="majorHAnsi" w:cs="Calibri"/>
          <w:i/>
          <w:iCs/>
          <w:lang w:eastAsia="fr-FR"/>
        </w:rPr>
        <w:t xml:space="preserve">particulière </w:t>
      </w:r>
      <w:r w:rsidRPr="00307FF0">
        <w:rPr>
          <w:rFonts w:asciiTheme="majorHAnsi" w:eastAsia="Times New Roman" w:hAnsiTheme="majorHAnsi" w:cs="Calibri"/>
          <w:i/>
          <w:iCs/>
          <w:lang w:eastAsia="fr-FR"/>
        </w:rPr>
        <w:t>pour les projets visant à créer une nouvelle structure ou entité</w:t>
      </w:r>
      <w:r>
        <w:rPr>
          <w:rFonts w:asciiTheme="majorHAnsi" w:eastAsia="Times New Roman" w:hAnsiTheme="majorHAnsi" w:cs="Calibri"/>
          <w:i/>
          <w:iCs/>
          <w:lang w:eastAsia="fr-FR"/>
        </w:rPr>
        <w:t>.</w:t>
      </w:r>
    </w:p>
    <w:p w:rsidR="00596C0D" w:rsidRDefault="00596C0D" w:rsidP="00596C0D">
      <w:pPr>
        <w:spacing w:after="0" w:line="240" w:lineRule="auto"/>
        <w:ind w:right="284"/>
        <w:rPr>
          <w:rFonts w:asciiTheme="majorHAnsi" w:eastAsia="Times New Roman" w:hAnsiTheme="majorHAnsi" w:cs="Calibri"/>
          <w:b/>
          <w:bCs/>
          <w:u w:val="single"/>
          <w:lang w:eastAsia="fr-FR"/>
        </w:rPr>
      </w:pPr>
    </w:p>
    <w:p w:rsidR="00596C0D" w:rsidRPr="00307FF0" w:rsidRDefault="00596C0D" w:rsidP="00596C0D">
      <w:pPr>
        <w:spacing w:after="0" w:line="240" w:lineRule="auto"/>
        <w:ind w:right="284"/>
        <w:rPr>
          <w:rFonts w:asciiTheme="majorHAnsi" w:eastAsia="Times New Roman" w:hAnsiTheme="majorHAnsi" w:cs="Calibri"/>
          <w:b/>
          <w:bCs/>
          <w:lang w:eastAsia="fr-FR"/>
        </w:rPr>
      </w:pPr>
      <w:r w:rsidRPr="00307FF0">
        <w:rPr>
          <w:rFonts w:asciiTheme="majorHAnsi" w:eastAsia="Times New Roman" w:hAnsiTheme="majorHAnsi" w:cs="Calibri"/>
          <w:b/>
          <w:bCs/>
          <w:u w:val="single"/>
          <w:lang w:eastAsia="fr-FR"/>
        </w:rPr>
        <w:t>Projets non éligibles</w:t>
      </w:r>
      <w:r w:rsidRPr="00214503">
        <w:rPr>
          <w:rFonts w:asciiTheme="majorHAnsi" w:eastAsia="Times New Roman" w:hAnsiTheme="majorHAnsi" w:cs="Calibri"/>
          <w:b/>
          <w:bCs/>
          <w:lang w:eastAsia="fr-FR"/>
        </w:rPr>
        <w:t xml:space="preserve"> : </w:t>
      </w:r>
    </w:p>
    <w:p w:rsidR="00596C0D" w:rsidRPr="00307FF0" w:rsidRDefault="00596C0D" w:rsidP="00596C0D">
      <w:pPr>
        <w:spacing w:after="0" w:line="240" w:lineRule="auto"/>
        <w:ind w:right="284"/>
        <w:rPr>
          <w:rFonts w:asciiTheme="majorHAnsi" w:eastAsia="Times New Roman" w:hAnsiTheme="majorHAnsi" w:cs="Calibri"/>
          <w:sz w:val="24"/>
          <w:lang w:eastAsia="fr-FR"/>
        </w:rPr>
      </w:pPr>
    </w:p>
    <w:p w:rsidR="00596C0D" w:rsidRDefault="00596C0D" w:rsidP="00596C0D">
      <w:pPr>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 xml:space="preserve">Ne sont pas éligibles aux </w:t>
      </w:r>
      <w:proofErr w:type="spellStart"/>
      <w:r w:rsidRPr="00307FF0">
        <w:rPr>
          <w:rFonts w:asciiTheme="majorHAnsi" w:eastAsia="Times New Roman" w:hAnsiTheme="majorHAnsi" w:cs="Calibri"/>
          <w:lang w:eastAsia="fr-FR"/>
        </w:rPr>
        <w:t>cofinancements</w:t>
      </w:r>
      <w:proofErr w:type="spellEnd"/>
      <w:r w:rsidRPr="00307FF0">
        <w:rPr>
          <w:rFonts w:asciiTheme="majorHAnsi" w:eastAsia="Times New Roman" w:hAnsiTheme="majorHAnsi" w:cs="Calibri"/>
          <w:lang w:eastAsia="fr-FR"/>
        </w:rPr>
        <w:t xml:space="preserve"> de l’AFD les projets visant majoritairement ou exclusivement les opérations suivantes : </w:t>
      </w:r>
    </w:p>
    <w:p w:rsidR="00596C0D" w:rsidRPr="00307FF0" w:rsidRDefault="00596C0D" w:rsidP="00596C0D">
      <w:pPr>
        <w:spacing w:after="0" w:line="240" w:lineRule="auto"/>
        <w:ind w:right="284"/>
        <w:jc w:val="both"/>
        <w:rPr>
          <w:rFonts w:asciiTheme="majorHAnsi" w:eastAsia="Times New Roman" w:hAnsiTheme="majorHAnsi" w:cs="Calibri"/>
          <w:lang w:eastAsia="fr-FR"/>
        </w:rPr>
      </w:pP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i/>
          <w:lang w:eastAsia="fr-FR"/>
        </w:rPr>
      </w:pPr>
      <w:r w:rsidRPr="00F654B4">
        <w:rPr>
          <w:rFonts w:asciiTheme="majorHAnsi" w:eastAsia="Times New Roman" w:hAnsiTheme="majorHAnsi" w:cs="Calibri"/>
          <w:i/>
          <w:lang w:eastAsia="fr-FR"/>
        </w:rPr>
        <w:t>Projets d’offre ou programmes de formation quand le projet ne présente que ce type d’activités ou quand il est entièrement construit autour de ce type d’activités ;</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i/>
          <w:lang w:eastAsia="fr-FR"/>
        </w:rPr>
      </w:pPr>
      <w:r w:rsidRPr="00F654B4">
        <w:rPr>
          <w:rFonts w:asciiTheme="majorHAnsi" w:eastAsia="Times New Roman" w:hAnsiTheme="majorHAnsi" w:cs="Calibri"/>
          <w:i/>
          <w:lang w:eastAsia="fr-FR"/>
        </w:rPr>
        <w:t>Publications ou projets éditoriaux quand le projet ne présente que ce type d’activités ou quand il est entièrement construit autour de ce type d’activités ;</w:t>
      </w:r>
    </w:p>
    <w:p w:rsidR="00596C0D" w:rsidRPr="00F654B4" w:rsidRDefault="00596C0D" w:rsidP="00596C0D">
      <w:pPr>
        <w:pStyle w:val="Paragraphedeliste"/>
        <w:numPr>
          <w:ilvl w:val="0"/>
          <w:numId w:val="5"/>
        </w:numPr>
        <w:spacing w:after="0" w:line="240" w:lineRule="auto"/>
        <w:ind w:right="284"/>
        <w:jc w:val="both"/>
        <w:rPr>
          <w:rFonts w:asciiTheme="majorHAnsi" w:eastAsia="Times New Roman" w:hAnsiTheme="majorHAnsi" w:cs="Calibri"/>
          <w:i/>
          <w:lang w:eastAsia="fr-FR"/>
        </w:rPr>
      </w:pPr>
      <w:r w:rsidRPr="00F654B4">
        <w:rPr>
          <w:rFonts w:asciiTheme="majorHAnsi" w:eastAsia="Times New Roman" w:hAnsiTheme="majorHAnsi" w:cs="Calibri"/>
          <w:i/>
          <w:lang w:eastAsia="fr-FR"/>
        </w:rPr>
        <w:t>Les actions ponctuelles et géographiquement limitées ne peuvent être soutenues sauf si elles sont intégrées dans des processus et des programmes d’action plus globaux.</w:t>
      </w:r>
    </w:p>
    <w:p w:rsidR="00596C0D" w:rsidRPr="00913F4C" w:rsidRDefault="00596C0D" w:rsidP="00596C0D">
      <w:pPr>
        <w:pStyle w:val="Paragraphedeliste"/>
        <w:spacing w:after="0" w:line="240" w:lineRule="auto"/>
        <w:ind w:right="284"/>
        <w:jc w:val="both"/>
        <w:rPr>
          <w:rFonts w:asciiTheme="majorHAnsi" w:eastAsia="Times New Roman" w:hAnsiTheme="majorHAnsi" w:cs="Calibri"/>
          <w:lang w:eastAsia="fr-FR"/>
        </w:rPr>
      </w:pPr>
    </w:p>
    <w:p w:rsidR="00596C0D" w:rsidRPr="00307FF0" w:rsidRDefault="00596C0D" w:rsidP="00596C0D">
      <w:pPr>
        <w:spacing w:after="0" w:line="240" w:lineRule="auto"/>
        <w:ind w:right="284"/>
        <w:rPr>
          <w:rFonts w:asciiTheme="majorHAnsi" w:eastAsia="Times New Roman" w:hAnsiTheme="majorHAnsi" w:cs="Calibri"/>
          <w:b/>
          <w:bCs/>
          <w:color w:val="000000"/>
          <w:lang w:eastAsia="fr-FR"/>
        </w:rPr>
      </w:pPr>
      <w:r w:rsidRPr="00307FF0">
        <w:rPr>
          <w:rFonts w:asciiTheme="majorHAnsi" w:eastAsia="Times New Roman" w:hAnsiTheme="majorHAnsi" w:cs="Calibri"/>
          <w:b/>
          <w:bCs/>
          <w:color w:val="000000"/>
          <w:u w:val="single"/>
          <w:lang w:eastAsia="fr-FR"/>
        </w:rPr>
        <w:t xml:space="preserve">Montant du projet et </w:t>
      </w:r>
      <w:r>
        <w:rPr>
          <w:rFonts w:asciiTheme="majorHAnsi" w:eastAsia="Times New Roman" w:hAnsiTheme="majorHAnsi" w:cs="Calibri"/>
          <w:b/>
          <w:bCs/>
          <w:color w:val="000000"/>
          <w:u w:val="single"/>
          <w:lang w:eastAsia="fr-FR"/>
        </w:rPr>
        <w:t>plafonds</w:t>
      </w:r>
      <w:r w:rsidRPr="00307FF0">
        <w:rPr>
          <w:rFonts w:asciiTheme="majorHAnsi" w:eastAsia="Times New Roman" w:hAnsiTheme="majorHAnsi" w:cs="Calibri"/>
          <w:b/>
          <w:bCs/>
          <w:color w:val="000000"/>
          <w:u w:val="single"/>
          <w:lang w:eastAsia="fr-FR"/>
        </w:rPr>
        <w:t xml:space="preserve"> de </w:t>
      </w:r>
      <w:proofErr w:type="spellStart"/>
      <w:r w:rsidRPr="00307FF0">
        <w:rPr>
          <w:rFonts w:asciiTheme="majorHAnsi" w:eastAsia="Times New Roman" w:hAnsiTheme="majorHAnsi" w:cs="Calibri"/>
          <w:b/>
          <w:bCs/>
          <w:color w:val="000000"/>
          <w:u w:val="single"/>
          <w:lang w:eastAsia="fr-FR"/>
        </w:rPr>
        <w:t>cofinancement</w:t>
      </w:r>
      <w:proofErr w:type="spellEnd"/>
      <w:r w:rsidRPr="00214503">
        <w:rPr>
          <w:rFonts w:asciiTheme="majorHAnsi" w:eastAsia="Times New Roman" w:hAnsiTheme="majorHAnsi" w:cs="Calibri"/>
          <w:b/>
          <w:bCs/>
          <w:color w:val="000000"/>
          <w:lang w:eastAsia="fr-FR"/>
        </w:rPr>
        <w:t xml:space="preserve"> :</w:t>
      </w:r>
      <w:r w:rsidRPr="00307FF0">
        <w:rPr>
          <w:rFonts w:asciiTheme="majorHAnsi" w:eastAsia="Times New Roman" w:hAnsiTheme="majorHAnsi" w:cs="Calibri"/>
          <w:b/>
          <w:bCs/>
          <w:color w:val="000000"/>
          <w:lang w:eastAsia="fr-FR"/>
        </w:rPr>
        <w:t xml:space="preserve"> </w:t>
      </w:r>
    </w:p>
    <w:p w:rsidR="00596C0D" w:rsidRPr="00307FF0" w:rsidRDefault="00596C0D" w:rsidP="00596C0D">
      <w:pPr>
        <w:spacing w:after="0" w:line="240" w:lineRule="auto"/>
        <w:ind w:right="284"/>
        <w:rPr>
          <w:rFonts w:asciiTheme="majorHAnsi" w:eastAsia="Times New Roman" w:hAnsiTheme="majorHAnsi" w:cs="Calibri"/>
          <w:b/>
          <w:bCs/>
          <w:color w:val="000000"/>
          <w:lang w:eastAsia="fr-FR"/>
        </w:rPr>
      </w:pPr>
    </w:p>
    <w:p w:rsidR="00596C0D"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913F4C">
        <w:rPr>
          <w:rFonts w:asciiTheme="majorHAnsi" w:eastAsia="Times New Roman" w:hAnsiTheme="majorHAnsi" w:cs="Calibri"/>
          <w:lang w:eastAsia="fr-FR"/>
        </w:rPr>
        <w:t xml:space="preserve">Le montant total du projet doit être supérieur ou égal à 300 000 € ; les projets dont le montant global se </w:t>
      </w:r>
      <w:proofErr w:type="gramStart"/>
      <w:r w:rsidRPr="00913F4C">
        <w:rPr>
          <w:rFonts w:asciiTheme="majorHAnsi" w:eastAsia="Times New Roman" w:hAnsiTheme="majorHAnsi" w:cs="Calibri"/>
          <w:lang w:eastAsia="fr-FR"/>
        </w:rPr>
        <w:t>situe</w:t>
      </w:r>
      <w:proofErr w:type="gramEnd"/>
      <w:r w:rsidRPr="00913F4C">
        <w:rPr>
          <w:rFonts w:asciiTheme="majorHAnsi" w:eastAsia="Times New Roman" w:hAnsiTheme="majorHAnsi" w:cs="Calibri"/>
          <w:lang w:eastAsia="fr-FR"/>
        </w:rPr>
        <w:t xml:space="preserve"> entre 200 000 € et 300 000 € pourront être déclarés éligibles uniquement dans le cas de contextes très spécifiques et justifiés</w:t>
      </w:r>
      <w:r w:rsidRPr="00307FF0">
        <w:rPr>
          <w:rFonts w:asciiTheme="majorHAnsi" w:eastAsia="Times New Roman" w:hAnsiTheme="majorHAnsi" w:cs="Calibri"/>
          <w:lang w:eastAsia="fr-FR"/>
        </w:rPr>
        <w:t>.</w:t>
      </w:r>
    </w:p>
    <w:p w:rsidR="00596C0D" w:rsidRPr="00307FF0" w:rsidRDefault="00596C0D" w:rsidP="00596C0D">
      <w:pPr>
        <w:pStyle w:val="Paragraphedeliste"/>
        <w:spacing w:after="0" w:line="240" w:lineRule="auto"/>
        <w:ind w:right="284"/>
        <w:jc w:val="both"/>
        <w:rPr>
          <w:rFonts w:asciiTheme="majorHAnsi" w:eastAsia="Times New Roman" w:hAnsiTheme="majorHAnsi" w:cs="Calibri"/>
          <w:lang w:eastAsia="fr-FR"/>
        </w:rPr>
      </w:pPr>
    </w:p>
    <w:p w:rsidR="00596C0D" w:rsidRPr="00913F4C" w:rsidRDefault="00596C0D" w:rsidP="00596C0D">
      <w:pPr>
        <w:pStyle w:val="Paragraphedeliste"/>
        <w:numPr>
          <w:ilvl w:val="0"/>
          <w:numId w:val="4"/>
        </w:numPr>
        <w:spacing w:after="240" w:line="240" w:lineRule="auto"/>
        <w:ind w:right="284"/>
        <w:contextualSpacing w:val="0"/>
        <w:jc w:val="both"/>
        <w:rPr>
          <w:rFonts w:asciiTheme="majorHAnsi" w:eastAsia="Times New Roman" w:hAnsiTheme="majorHAnsi" w:cs="Calibri"/>
          <w:bCs/>
          <w:lang w:eastAsia="fr-FR"/>
        </w:rPr>
      </w:pPr>
      <w:r w:rsidRPr="00307FF0">
        <w:rPr>
          <w:rFonts w:asciiTheme="majorHAnsi" w:eastAsia="Times New Roman" w:hAnsiTheme="majorHAnsi" w:cs="Calibri"/>
          <w:bCs/>
          <w:lang w:eastAsia="fr-FR"/>
        </w:rPr>
        <w:t>Le rat</w:t>
      </w:r>
      <w:r>
        <w:rPr>
          <w:rFonts w:asciiTheme="majorHAnsi" w:eastAsia="Times New Roman" w:hAnsiTheme="majorHAnsi" w:cs="Calibri"/>
          <w:bCs/>
          <w:lang w:eastAsia="fr-FR"/>
        </w:rPr>
        <w:t>io du budget du projet</w:t>
      </w:r>
      <w:r w:rsidRPr="00307FF0">
        <w:rPr>
          <w:rFonts w:asciiTheme="majorHAnsi" w:eastAsia="Times New Roman" w:hAnsiTheme="majorHAnsi" w:cs="Calibri"/>
          <w:bCs/>
          <w:lang w:eastAsia="fr-FR"/>
        </w:rPr>
        <w:t xml:space="preserve"> par rapport au budget annuel de l’OSC</w:t>
      </w:r>
      <w:r>
        <w:rPr>
          <w:rFonts w:asciiTheme="majorHAnsi" w:eastAsia="Times New Roman" w:hAnsiTheme="majorHAnsi" w:cs="Calibri"/>
          <w:bCs/>
          <w:lang w:eastAsia="fr-FR"/>
        </w:rPr>
        <w:t> :</w:t>
      </w:r>
      <w:r w:rsidRPr="00307FF0">
        <w:rPr>
          <w:rFonts w:asciiTheme="majorHAnsi" w:eastAsia="Times New Roman" w:hAnsiTheme="majorHAnsi" w:cs="Calibri"/>
          <w:bCs/>
          <w:lang w:eastAsia="fr-FR"/>
        </w:rPr>
        <w:t xml:space="preserve"> </w:t>
      </w:r>
      <w:r w:rsidRPr="00BB1824">
        <w:rPr>
          <w:rFonts w:asciiTheme="majorHAnsi" w:eastAsia="Times New Roman" w:hAnsiTheme="majorHAnsi" w:cs="Calibri"/>
          <w:bCs/>
          <w:lang w:eastAsia="fr-FR"/>
        </w:rPr>
        <w:t>la moyenne du coût annuel du projet n</w:t>
      </w:r>
      <w:r>
        <w:rPr>
          <w:rFonts w:asciiTheme="majorHAnsi" w:eastAsia="Times New Roman" w:hAnsiTheme="majorHAnsi" w:cs="Calibri"/>
          <w:bCs/>
          <w:lang w:eastAsia="fr-FR"/>
        </w:rPr>
        <w:t xml:space="preserve">e devra pas </w:t>
      </w:r>
      <w:r w:rsidRPr="00BB1824">
        <w:rPr>
          <w:rFonts w:asciiTheme="majorHAnsi" w:eastAsia="Times New Roman" w:hAnsiTheme="majorHAnsi" w:cs="Calibri"/>
          <w:bCs/>
          <w:lang w:eastAsia="fr-FR"/>
        </w:rPr>
        <w:t>excéde</w:t>
      </w:r>
      <w:r>
        <w:rPr>
          <w:rFonts w:asciiTheme="majorHAnsi" w:eastAsia="Times New Roman" w:hAnsiTheme="majorHAnsi" w:cs="Calibri"/>
          <w:bCs/>
          <w:lang w:eastAsia="fr-FR"/>
        </w:rPr>
        <w:t>r 70% du</w:t>
      </w:r>
      <w:r w:rsidRPr="00BB1824">
        <w:rPr>
          <w:rFonts w:asciiTheme="majorHAnsi" w:eastAsia="Times New Roman" w:hAnsiTheme="majorHAnsi" w:cs="Calibri"/>
          <w:bCs/>
          <w:lang w:eastAsia="fr-FR"/>
        </w:rPr>
        <w:t xml:space="preserve"> budget annuel de l’OSC</w:t>
      </w:r>
      <w:r>
        <w:rPr>
          <w:rFonts w:asciiTheme="majorHAnsi" w:eastAsia="Times New Roman" w:hAnsiTheme="majorHAnsi" w:cs="Calibri"/>
          <w:bCs/>
          <w:lang w:eastAsia="fr-FR"/>
        </w:rPr>
        <w:t xml:space="preserve">, sauf cas </w:t>
      </w:r>
      <w:proofErr w:type="spellStart"/>
      <w:r>
        <w:rPr>
          <w:rFonts w:asciiTheme="majorHAnsi" w:eastAsia="Times New Roman" w:hAnsiTheme="majorHAnsi" w:cs="Calibri"/>
          <w:bCs/>
          <w:lang w:eastAsia="fr-FR"/>
        </w:rPr>
        <w:t>dument</w:t>
      </w:r>
      <w:proofErr w:type="spellEnd"/>
      <w:r>
        <w:rPr>
          <w:rFonts w:asciiTheme="majorHAnsi" w:eastAsia="Times New Roman" w:hAnsiTheme="majorHAnsi" w:cs="Calibri"/>
          <w:bCs/>
          <w:lang w:eastAsia="fr-FR"/>
        </w:rPr>
        <w:t xml:space="preserve"> justifié</w:t>
      </w:r>
      <w:r w:rsidRPr="00BB1824">
        <w:rPr>
          <w:rFonts w:asciiTheme="majorHAnsi" w:eastAsia="Times New Roman" w:hAnsiTheme="majorHAnsi" w:cs="Calibri"/>
          <w:bCs/>
          <w:lang w:eastAsia="fr-FR"/>
        </w:rPr>
        <w:t>.</w:t>
      </w:r>
      <w:r>
        <w:rPr>
          <w:rFonts w:asciiTheme="majorHAnsi" w:eastAsia="Times New Roman" w:hAnsiTheme="majorHAnsi" w:cs="Calibri"/>
          <w:bCs/>
          <w:lang w:eastAsia="fr-FR"/>
        </w:rPr>
        <w:t xml:space="preserve"> </w:t>
      </w:r>
    </w:p>
    <w:p w:rsidR="00596C0D" w:rsidRPr="00307FF0" w:rsidRDefault="00596C0D" w:rsidP="00596C0D">
      <w:pPr>
        <w:pStyle w:val="Paragraphedeliste"/>
        <w:numPr>
          <w:ilvl w:val="0"/>
          <w:numId w:val="5"/>
        </w:numPr>
        <w:spacing w:after="0" w:line="240" w:lineRule="auto"/>
        <w:ind w:right="284"/>
        <w:jc w:val="both"/>
        <w:rPr>
          <w:rFonts w:asciiTheme="majorHAnsi" w:eastAsia="Times New Roman" w:hAnsiTheme="majorHAnsi" w:cs="Calibri"/>
          <w:lang w:eastAsia="fr-FR"/>
        </w:rPr>
      </w:pPr>
      <w:r w:rsidRPr="00307FF0">
        <w:rPr>
          <w:rFonts w:asciiTheme="majorHAnsi" w:eastAsia="Times New Roman" w:hAnsiTheme="majorHAnsi" w:cs="Calibri"/>
          <w:lang w:eastAsia="fr-FR"/>
        </w:rPr>
        <w:t xml:space="preserve">Le seuil de </w:t>
      </w:r>
      <w:proofErr w:type="spellStart"/>
      <w:r w:rsidRPr="00307FF0">
        <w:rPr>
          <w:rFonts w:asciiTheme="majorHAnsi" w:eastAsia="Times New Roman" w:hAnsiTheme="majorHAnsi" w:cs="Calibri"/>
          <w:lang w:eastAsia="fr-FR"/>
        </w:rPr>
        <w:t>cofinancement</w:t>
      </w:r>
      <w:proofErr w:type="spellEnd"/>
      <w:r w:rsidRPr="00307FF0">
        <w:rPr>
          <w:rFonts w:asciiTheme="majorHAnsi" w:eastAsia="Times New Roman" w:hAnsiTheme="majorHAnsi" w:cs="Calibri"/>
          <w:lang w:eastAsia="fr-FR"/>
        </w:rPr>
        <w:t xml:space="preserve"> de l'AFD (n’incluant pas les autres ministères ou acteurs publics) pour les projets Intérêt général est de 60% maximum du budget global du projet. </w:t>
      </w:r>
    </w:p>
    <w:p w:rsidR="00596C0D" w:rsidRDefault="00596C0D"/>
    <w:sectPr w:rsidR="00596C0D" w:rsidSect="00F47A98">
      <w:pgSz w:w="11906" w:h="16838"/>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AD1"/>
    <w:multiLevelType w:val="hybridMultilevel"/>
    <w:tmpl w:val="34F27C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AF5BA4"/>
    <w:multiLevelType w:val="hybridMultilevel"/>
    <w:tmpl w:val="521EC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1B5967"/>
    <w:multiLevelType w:val="hybridMultilevel"/>
    <w:tmpl w:val="26448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D92B76"/>
    <w:multiLevelType w:val="hybridMultilevel"/>
    <w:tmpl w:val="01D0F2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BE81083"/>
    <w:multiLevelType w:val="hybridMultilevel"/>
    <w:tmpl w:val="360E3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7C5D40"/>
    <w:multiLevelType w:val="hybridMultilevel"/>
    <w:tmpl w:val="75943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9128D5"/>
    <w:multiLevelType w:val="hybridMultilevel"/>
    <w:tmpl w:val="1B8C4ADC"/>
    <w:lvl w:ilvl="0" w:tplc="486475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91"/>
    <w:rsid w:val="000F5DB9"/>
    <w:rsid w:val="001E4020"/>
    <w:rsid w:val="00214503"/>
    <w:rsid w:val="002226BD"/>
    <w:rsid w:val="00226EB5"/>
    <w:rsid w:val="00270691"/>
    <w:rsid w:val="002778D7"/>
    <w:rsid w:val="002E61F5"/>
    <w:rsid w:val="004032AB"/>
    <w:rsid w:val="00501E26"/>
    <w:rsid w:val="005379B0"/>
    <w:rsid w:val="00596C0D"/>
    <w:rsid w:val="00725C03"/>
    <w:rsid w:val="007815F0"/>
    <w:rsid w:val="00913F4C"/>
    <w:rsid w:val="00D3080B"/>
    <w:rsid w:val="00DD4607"/>
    <w:rsid w:val="00F47A98"/>
    <w:rsid w:val="00F65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6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0691"/>
    <w:rPr>
      <w:color w:val="0000FF"/>
      <w:u w:val="single"/>
    </w:rPr>
  </w:style>
  <w:style w:type="paragraph" w:styleId="Paragraphedeliste">
    <w:name w:val="List Paragraph"/>
    <w:basedOn w:val="Normal"/>
    <w:uiPriority w:val="34"/>
    <w:qFormat/>
    <w:rsid w:val="002706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6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0691"/>
    <w:rPr>
      <w:color w:val="0000FF"/>
      <w:u w:val="single"/>
    </w:rPr>
  </w:style>
  <w:style w:type="paragraph" w:styleId="Paragraphedeliste">
    <w:name w:val="List Paragraph"/>
    <w:basedOn w:val="Normal"/>
    <w:uiPriority w:val="34"/>
    <w:qFormat/>
    <w:rsid w:val="00270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d.fr/home/AFD/nospartenaires/O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2509</Words>
  <Characters>13801</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HUGUENIN Valérie</dc:creator>
  <cp:lastModifiedBy>LE HEGARAT Monique</cp:lastModifiedBy>
  <cp:revision>8</cp:revision>
  <cp:lastPrinted>2016-04-28T12:19:00Z</cp:lastPrinted>
  <dcterms:created xsi:type="dcterms:W3CDTF">2016-04-26T14:30:00Z</dcterms:created>
  <dcterms:modified xsi:type="dcterms:W3CDTF">2016-04-28T12:22:00Z</dcterms:modified>
</cp:coreProperties>
</file>